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77777777" w:rsidR="003D4BC4" w:rsidRPr="00F8352E" w:rsidRDefault="00F952F6" w:rsidP="00AD593F">
      <w:pPr>
        <w:spacing w:after="0" w:line="240" w:lineRule="auto"/>
        <w:jc w:val="center"/>
        <w:rPr>
          <w:rFonts w:ascii="Arial" w:hAnsi="Arial" w:cs="Arial"/>
          <w:b/>
          <w:color w:val="0033A0"/>
          <w:sz w:val="44"/>
          <w:szCs w:val="48"/>
        </w:rPr>
      </w:pPr>
      <w:r w:rsidRPr="00F8352E">
        <w:rPr>
          <w:rFonts w:ascii="Arial" w:hAnsi="Arial" w:cs="Arial"/>
          <w:b/>
          <w:color w:val="0033A0"/>
          <w:sz w:val="44"/>
          <w:szCs w:val="48"/>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 xml:space="preserve">GenC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(GenC</w:t>
      </w:r>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GenC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r w:rsidR="00A34C83" w:rsidRPr="001B755F">
        <w:rPr>
          <w:rFonts w:ascii="Arial" w:hAnsi="Arial" w:cs="Arial"/>
          <w:b/>
          <w:bCs/>
          <w:color w:val="000048"/>
          <w:sz w:val="20"/>
          <w:szCs w:val="20"/>
        </w:rPr>
        <w:t xml:space="preserve">GenC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On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GenC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r w:rsidRPr="001B755F">
        <w:rPr>
          <w:rFonts w:ascii="Arial" w:hAnsi="Arial" w:cs="Arial"/>
          <w:b/>
          <w:bCs/>
          <w:color w:val="000048"/>
          <w:sz w:val="20"/>
          <w:szCs w:val="20"/>
        </w:rPr>
        <w:t xml:space="preserve">GenC Internship </w:t>
      </w:r>
      <w:r w:rsidRPr="001B755F">
        <w:rPr>
          <w:rFonts w:ascii="Arial" w:hAnsi="Arial" w:cs="Arial"/>
          <w:color w:val="000048"/>
          <w:sz w:val="20"/>
          <w:szCs w:val="20"/>
        </w:rPr>
        <w:t>will be determined by the curriculum track to which the GenC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GenC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GenC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The GenC curriculum is designed to with the focus to enable GenC Intern candidates to incorporate the skills acquired,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r w:rsidRPr="001B755F">
        <w:rPr>
          <w:rFonts w:ascii="Arial" w:hAnsi="Arial" w:cs="Arial"/>
          <w:color w:val="000048"/>
        </w:rPr>
        <w:t xml:space="preserve">GenC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GenC (Generation Cognizant) Program assures skill capability in our fresh hires (GenCs) towards business readiness at Cognizant. This program spans the entire duration of GenCs learning journey from the time GenCs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GenC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path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54F81073">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Few of the acronyms and / or its definitions provided here may not have been used in this document but has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r w:rsidRPr="001B755F">
              <w:rPr>
                <w:rFonts w:cs="Arial"/>
              </w:rPr>
              <w:t>GenC</w:t>
            </w:r>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 xml:space="preserve">The overall performance of the GenC will be assessed across the evaluation/assessment modules and the eligibility criteria for successful completion of skilling program will include the </w:t>
      </w:r>
      <w:proofErr w:type="spellStart"/>
      <w:r w:rsidRPr="001B755F">
        <w:rPr>
          <w:color w:val="000048"/>
          <w:sz w:val="20"/>
          <w:szCs w:val="20"/>
        </w:rPr>
        <w:t>GenC’s</w:t>
      </w:r>
      <w:proofErr w:type="spellEnd"/>
      <w:r w:rsidRPr="001B755F">
        <w:rPr>
          <w:color w:val="000048"/>
          <w:sz w:val="20"/>
          <w:szCs w:val="20"/>
        </w:rPr>
        <w:t xml:space="preserve"> technical competency, behavioral competencies and adherence to policy aligned GenC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killing completion criteria for GenC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Each technical track has a defined curriculum which is oriented to the GenCs at the beginning of the technical skilling phase. Towards successful completion of the skilling program, the</w:t>
      </w:r>
      <w:r w:rsidR="00DC1EEA" w:rsidRPr="00A71E9A">
        <w:rPr>
          <w:rFonts w:ascii="Arial" w:hAnsi="Arial" w:cs="Arial"/>
          <w:color w:val="000048"/>
          <w:sz w:val="20"/>
          <w:szCs w:val="20"/>
        </w:rPr>
        <w:t xml:space="preserve"> </w:t>
      </w:r>
      <w:proofErr w:type="spellStart"/>
      <w:r w:rsidR="00DC1EEA" w:rsidRPr="00A71E9A">
        <w:rPr>
          <w:rFonts w:ascii="Arial" w:hAnsi="Arial" w:cs="Arial"/>
          <w:color w:val="000048"/>
          <w:sz w:val="20"/>
          <w:szCs w:val="20"/>
        </w:rPr>
        <w:t>Gen</w:t>
      </w:r>
      <w:r w:rsidRPr="00A71E9A">
        <w:rPr>
          <w:rFonts w:ascii="Arial" w:hAnsi="Arial" w:cs="Arial"/>
          <w:color w:val="000048"/>
          <w:sz w:val="20"/>
          <w:szCs w:val="20"/>
        </w:rPr>
        <w:t>C</w:t>
      </w:r>
      <w:r w:rsidR="00DC1EEA" w:rsidRPr="00A71E9A">
        <w:rPr>
          <w:rFonts w:ascii="Arial" w:hAnsi="Arial" w:cs="Arial"/>
          <w:color w:val="000048"/>
          <w:sz w:val="20"/>
          <w:szCs w:val="20"/>
        </w:rPr>
        <w:t>'s</w:t>
      </w:r>
      <w:proofErr w:type="spellEnd"/>
      <w:r w:rsidR="00DC1EEA" w:rsidRPr="00A71E9A">
        <w:rPr>
          <w:rFonts w:ascii="Arial" w:hAnsi="Arial" w:cs="Arial"/>
          <w:color w:val="000048"/>
          <w:sz w:val="20"/>
          <w:szCs w:val="20"/>
        </w:rPr>
        <w:t xml:space="preserve">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GenC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instance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Pass stage1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r>
        <w:t>d</w:t>
      </w:r>
      <w:r w:rsidRPr="001D73BC">
        <w:t xml:space="preserve">epending on the SL track, trainees may be </w:t>
      </w:r>
      <w:r>
        <w:t>detained</w:t>
      </w:r>
      <w:r w:rsidRPr="001D73BC">
        <w:t xml:space="preserve"> from taking the final evaluation if they fail Stage 1, which could result in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(i)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GenC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candidate will not be eligible for a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able to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r w:rsidRPr="00FC3E1C">
        <w:rPr>
          <w:rFonts w:ascii="Arial" w:hAnsi="Arial" w:cs="Arial"/>
          <w:color w:val="000048"/>
          <w:sz w:val="20"/>
          <w:szCs w:val="20"/>
        </w:rPr>
        <w:t xml:space="preserve">B.Com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selects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GenC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GenC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GenC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GenC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and GenC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GenC Intern candidates </w:t>
      </w:r>
      <w:r w:rsidR="00E7586A">
        <w:rPr>
          <w:rFonts w:ascii="Arial" w:hAnsi="Arial" w:cs="Arial"/>
          <w:color w:val="000048"/>
          <w:sz w:val="20"/>
          <w:szCs w:val="20"/>
        </w:rPr>
        <w:t>are</w:t>
      </w:r>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r w:rsidRPr="001B755F">
        <w:rPr>
          <w:rFonts w:ascii="Arial" w:hAnsi="Arial" w:cs="Arial"/>
          <w:color w:val="000048"/>
          <w:sz w:val="20"/>
          <w:szCs w:val="20"/>
        </w:rPr>
        <w:t xml:space="preserve">GenC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Progressive level movement refers to advancement shown by the associate in their CEFR scores from the time of GenC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r w:rsidRPr="001B755F">
        <w:rPr>
          <w:rFonts w:ascii="Arial" w:hAnsi="Arial" w:cs="Arial"/>
          <w:color w:val="000048"/>
          <w:sz w:val="20"/>
          <w:szCs w:val="20"/>
        </w:rPr>
        <w:t xml:space="preserve">GenC Intern candidate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GenC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56DC1AAC">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43126620" w:rsidR="006827C4" w:rsidRDefault="006827C4" w:rsidP="00AD593F">
      <w:pPr>
        <w:pStyle w:val="Heading1"/>
        <w:rPr>
          <w:rFonts w:ascii="Arial" w:hAnsi="Arial" w:cs="Arial"/>
          <w:color w:val="000048"/>
        </w:rPr>
      </w:pPr>
      <w:bookmarkStart w:id="41" w:name="_Toc193970866"/>
      <w:r>
        <w:rPr>
          <w:rFonts w:ascii="Arial" w:hAnsi="Arial" w:cs="Arial"/>
          <w:color w:val="000048"/>
        </w:rPr>
        <w:t>Internship Stipend</w:t>
      </w:r>
      <w:bookmarkEnd w:id="41"/>
    </w:p>
    <w:p w14:paraId="68722624" w14:textId="24386D0E" w:rsidR="008B4CE4" w:rsidRDefault="004256D8" w:rsidP="006827C4">
      <w:pPr>
        <w:pStyle w:val="Default"/>
        <w:rPr>
          <w:color w:val="000048"/>
          <w:sz w:val="20"/>
          <w:szCs w:val="20"/>
        </w:rPr>
      </w:pPr>
      <w:r>
        <w:rPr>
          <w:color w:val="000048"/>
          <w:sz w:val="20"/>
          <w:szCs w:val="20"/>
        </w:rPr>
        <w:t>All the GenC Interns</w:t>
      </w:r>
      <w:r w:rsidR="006827C4" w:rsidRPr="006827C4">
        <w:rPr>
          <w:color w:val="000048"/>
          <w:sz w:val="20"/>
          <w:szCs w:val="20"/>
        </w:rPr>
        <w:t xml:space="preserve"> will receive a monthly stipend of </w:t>
      </w:r>
      <w:r>
        <w:rPr>
          <w:color w:val="000048"/>
          <w:sz w:val="20"/>
          <w:szCs w:val="20"/>
        </w:rPr>
        <w:t>INR.12,000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Intern attendance and performance plays a crucial role in determining the stipend amount, highlighting the importance of active participation and engagement in the internship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r w:rsidRPr="001B755F">
        <w:rPr>
          <w:rFonts w:ascii="Arial" w:hAnsi="Arial" w:cs="Arial"/>
          <w:color w:val="000048"/>
        </w:rPr>
        <w:lastRenderedPageBreak/>
        <w:t>GenC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r w:rsidR="000D492C" w:rsidRPr="001B755F">
        <w:rPr>
          <w:color w:val="000048"/>
          <w:sz w:val="20"/>
          <w:szCs w:val="20"/>
        </w:rPr>
        <w:t>GenCs</w:t>
      </w:r>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The guidelines are to support the GenC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GenC</w:t>
      </w:r>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GenC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GenC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The GenC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w:t>
      </w:r>
      <w:proofErr w:type="spellStart"/>
      <w:r w:rsidR="006E2845">
        <w:rPr>
          <w:rFonts w:ascii="Arial" w:hAnsi="Arial" w:cs="Arial"/>
          <w:color w:val="000048"/>
          <w:sz w:val="20"/>
          <w:szCs w:val="20"/>
        </w:rPr>
        <w:t>LOI.</w:t>
      </w:r>
      <w:r w:rsidR="000103CD" w:rsidRPr="006E2845">
        <w:rPr>
          <w:rFonts w:ascii="Arial" w:hAnsi="Arial" w:cs="Arial"/>
          <w:color w:val="000048"/>
          <w:sz w:val="20"/>
          <w:szCs w:val="20"/>
        </w:rPr>
        <w:t>Below</w:t>
      </w:r>
      <w:proofErr w:type="spellEnd"/>
      <w:r w:rsidR="000103CD" w:rsidRPr="006E2845">
        <w:rPr>
          <w:rFonts w:ascii="Arial" w:hAnsi="Arial" w:cs="Arial"/>
          <w:color w:val="000048"/>
          <w:sz w:val="20"/>
          <w:szCs w:val="20"/>
        </w:rPr>
        <w:t xml:space="preserve"> are the details and links of the policies and guidelines which will govern the GenC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Any learning and assessment are expected to be given by the GenCs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orrowing and lending money within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GenC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every month to continue in the GenC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Trutime</w:t>
      </w:r>
      <w:proofErr w:type="spellEnd"/>
      <w:r w:rsidRPr="001B755F">
        <w:rPr>
          <w:rFonts w:ascii="Arial" w:hAnsi="Arial" w:cs="Arial"/>
          <w:color w:val="000048"/>
          <w:sz w:val="20"/>
          <w:szCs w:val="20"/>
          <w:lang w:val="en-IN"/>
        </w:rPr>
        <w:t xml:space="preserv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/HR GenC</w:t>
      </w:r>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GenC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proofErr w:type="spellStart"/>
      <w:r w:rsidR="00771740" w:rsidRPr="001B755F">
        <w:rPr>
          <w:rFonts w:ascii="Arial" w:hAnsi="Arial" w:cs="Arial"/>
          <w:color w:val="000048"/>
          <w:sz w:val="20"/>
          <w:szCs w:val="20"/>
        </w:rPr>
        <w:t>Trutime</w:t>
      </w:r>
      <w:proofErr w:type="spellEnd"/>
      <w:r w:rsidR="00771740" w:rsidRPr="001B755F">
        <w:rPr>
          <w:rFonts w:ascii="Arial" w:hAnsi="Arial" w:cs="Arial"/>
          <w:color w:val="000048"/>
          <w:sz w:val="20"/>
          <w:szCs w:val="20"/>
        </w:rPr>
        <w:t xml:space="preserv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proofErr w:type="spellStart"/>
            <w:r w:rsidRPr="001B755F">
              <w:rPr>
                <w:rFonts w:ascii="Arial" w:hAnsi="Arial" w:cs="Arial"/>
                <w:b/>
                <w:bCs/>
                <w:color w:val="000048"/>
                <w:kern w:val="24"/>
                <w:sz w:val="20"/>
                <w:szCs w:val="20"/>
              </w:rPr>
              <w:t>Trutime</w:t>
            </w:r>
            <w:proofErr w:type="spellEnd"/>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r w:rsidRPr="001B755F">
        <w:rPr>
          <w:rFonts w:ascii="Arial" w:hAnsi="Arial" w:cs="Arial"/>
          <w:color w:val="000048"/>
          <w:sz w:val="20"/>
          <w:szCs w:val="20"/>
          <w:lang w:val="en-IN"/>
        </w:rPr>
        <w:t>GenC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office is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Leave approvals to be taken in advance through their GenC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Notify the GenC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All other leaves in any other reasons/categories would have an impact in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abandonment will be initiated for GenC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GenCs in a very honest way. Plagiarism / copying / any malpractice has a zero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During the internship period and on onboarding as full-time</w:t>
      </w:r>
      <w:r w:rsidR="00D25AAB" w:rsidRPr="00B44E39">
        <w:rPr>
          <w:rFonts w:ascii="Arial" w:hAnsi="Arial" w:cs="Arial"/>
          <w:color w:val="000048"/>
          <w:sz w:val="20"/>
          <w:szCs w:val="20"/>
        </w:rPr>
        <w:t xml:space="preserve"> employee</w:t>
      </w:r>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Ready to work in the technology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GenC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r w:rsidRPr="001B755F">
        <w:t>GenC Program c</w:t>
      </w:r>
      <w:r w:rsidR="00F70B9D" w:rsidRPr="001B755F">
        <w:t xml:space="preserve">ommunication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3C48FB43">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It is highly recommended that the GenC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below format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If no, reach out to your respective PoC. Please send this query to DL only if it is not addressed by both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r w:rsidRPr="001B755F">
        <w:rPr>
          <w:rFonts w:ascii="Arial" w:hAnsi="Arial" w:cs="Arial"/>
          <w:color w:val="000048"/>
        </w:rPr>
        <w:t>GenC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The objective of the grievance cell is to provide a good learning experience &amp; working relationship for the GenC</w:t>
      </w:r>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GenC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r w:rsidR="00427EB9" w:rsidRPr="001B755F">
        <w:rPr>
          <w:rFonts w:ascii="Arial" w:hAnsi="Arial" w:cs="Arial"/>
          <w:color w:val="000048"/>
          <w:sz w:val="20"/>
          <w:szCs w:val="20"/>
        </w:rPr>
        <w:t>GenC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r w:rsidRPr="001B755F">
        <w:rPr>
          <w:rFonts w:ascii="Arial" w:hAnsi="Arial" w:cs="Arial"/>
          <w:color w:val="000048"/>
          <w:sz w:val="20"/>
          <w:szCs w:val="20"/>
        </w:rPr>
        <w:t>GenC program POCs</w:t>
      </w:r>
      <w:r w:rsidR="00BF3D2B" w:rsidRPr="001B755F">
        <w:rPr>
          <w:rFonts w:ascii="Arial" w:hAnsi="Arial" w:cs="Arial"/>
          <w:color w:val="000048"/>
          <w:sz w:val="20"/>
          <w:szCs w:val="20"/>
        </w:rPr>
        <w:t xml:space="preserve"> to be more approachable to the </w:t>
      </w:r>
      <w:r w:rsidR="00427EB9" w:rsidRPr="001B755F">
        <w:rPr>
          <w:rFonts w:ascii="Arial" w:hAnsi="Arial" w:cs="Arial"/>
          <w:color w:val="000048"/>
          <w:sz w:val="20"/>
          <w:szCs w:val="20"/>
        </w:rPr>
        <w:t>GenC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r w:rsidR="00427EB9" w:rsidRPr="001B755F">
        <w:rPr>
          <w:rFonts w:ascii="Arial" w:hAnsi="Arial" w:cs="Arial"/>
          <w:color w:val="000048"/>
          <w:sz w:val="20"/>
          <w:szCs w:val="20"/>
        </w:rPr>
        <w:t xml:space="preserve">GenC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4656"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GenCs</w:t>
      </w:r>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lastRenderedPageBreak/>
        <w:t xml:space="preserve"> </w:t>
      </w:r>
      <w:bookmarkStart w:id="81" w:name="_Toc193970883"/>
      <w:r w:rsidR="00771740" w:rsidRPr="001B755F">
        <w:rPr>
          <w:rFonts w:ascii="Arial" w:hAnsi="Arial" w:cs="Arial"/>
          <w:color w:val="000048"/>
        </w:rPr>
        <w:t>Feedback communication to the GenC</w:t>
      </w:r>
      <w:bookmarkEnd w:id="80"/>
      <w:bookmarkEnd w:id="81"/>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at the appropriate checkpoints and will be available on the GenC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Any GenC NOT falling under ‘Successfully completed’ or ‘Alternate Service Line’ will not be applicable for the report card from Cognizant GenC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structure as designed by Cognizant GenC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Alternatively, based on the business demand, to meet the expectations of learning outcome, customizations would be applied the existing defined learning path [a joint venture between the Service Line (SL) and GenC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A completely niche learning path could be designed by Business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GenC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GenC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GenC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GenC who has not obtained the pre-defined minimum percentage to clear the Evaluation components will be eligible for reattempt, as applicable. The number of reattempts would be as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GenC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GenC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TruTime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r w:rsidRPr="001B755F">
        <w:rPr>
          <w:rFonts w:ascii="Arial" w:hAnsi="Arial" w:cs="Arial"/>
          <w:color w:val="000048"/>
          <w:sz w:val="20"/>
          <w:szCs w:val="20"/>
        </w:rPr>
        <w:t>The CEFR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with ease virtually everything heard or read.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Can understand the main points of clear standard input on familiar matters regularly encountered in work, school, leisure, etc. Can speak on topics that they are familiar with for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Can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r w:rsidRPr="00A04B35">
        <w:rPr>
          <w:rFonts w:ascii="Arial" w:hAnsi="Arial" w:cs="Arial"/>
          <w:b/>
          <w:color w:val="000048"/>
          <w:u w:val="single"/>
        </w:rPr>
        <w:lastRenderedPageBreak/>
        <w:t>GenC Internship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0023AE1E" w:rsidR="0017595D" w:rsidRPr="00A04B35" w:rsidRDefault="0017595D" w:rsidP="0017595D">
      <w:pPr>
        <w:spacing w:line="240" w:lineRule="auto"/>
        <w:rPr>
          <w:rFonts w:ascii="Arial" w:hAnsi="Arial" w:cs="Arial"/>
          <w:color w:val="000048"/>
          <w:sz w:val="20"/>
          <w:szCs w:val="20"/>
        </w:rPr>
      </w:pPr>
      <w:r w:rsidRPr="00A04B35">
        <w:rPr>
          <w:rFonts w:ascii="Arial" w:hAnsi="Arial" w:cs="Arial"/>
          <w:color w:val="000048"/>
          <w:sz w:val="20"/>
          <w:szCs w:val="20"/>
        </w:rPr>
        <w:t xml:space="preserve">I </w:t>
      </w:r>
      <w:r w:rsidR="00EF5E4B">
        <w:rPr>
          <w:rFonts w:ascii="Arial" w:hAnsi="Arial" w:cs="Arial"/>
          <w:color w:val="000048"/>
          <w:sz w:val="20"/>
          <w:szCs w:val="20"/>
        </w:rPr>
        <w:t>Janapana Abhinav Reddy</w:t>
      </w:r>
      <w:r w:rsidR="00E82EBA">
        <w:rPr>
          <w:rFonts w:ascii="Arial" w:hAnsi="Arial" w:cs="Arial"/>
          <w:color w:val="000048"/>
          <w:sz w:val="20"/>
          <w:szCs w:val="20"/>
        </w:rPr>
        <w:t>,</w:t>
      </w:r>
      <w:r w:rsidRPr="00A04B35">
        <w:rPr>
          <w:rFonts w:ascii="Arial" w:hAnsi="Arial" w:cs="Arial"/>
          <w:color w:val="000048"/>
          <w:sz w:val="20"/>
          <w:szCs w:val="20"/>
        </w:rPr>
        <w:t xml:space="preserve"> undergoing skilling in the GenC Internship program via classroom/virtual mode will be obliged to abide by, acknowledge, and agree to the following:</w:t>
      </w:r>
    </w:p>
    <w:p w14:paraId="3E1844CF" w14:textId="77777777"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8752" behindDoc="0" locked="0" layoutInCell="1" allowOverlap="1" wp14:anchorId="126A0A21" wp14:editId="09135ACD">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37.7pt;width:47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 xml:space="preserve">“GenC Internship skilling completion guidelines 2025” applicable to all types of skilling programs </w:t>
      </w:r>
    </w:p>
    <w:p w14:paraId="44147E6F" w14:textId="7777777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7777777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r w:rsidRPr="00A04B35">
        <w:rPr>
          <w:rFonts w:ascii="Arial" w:hAnsi="Arial" w:cs="Arial"/>
          <w:color w:val="000048"/>
          <w:sz w:val="20"/>
          <w:szCs w:val="20"/>
        </w:rPr>
        <w:t>GenC Internship skilling completion guidelines 2025</w:t>
      </w:r>
      <w:r w:rsidRPr="00A01F52">
        <w:rPr>
          <w:rFonts w:ascii="Arial" w:hAnsi="Arial" w:cs="Arial"/>
          <w:color w:val="000048"/>
          <w:sz w:val="20"/>
          <w:szCs w:val="20"/>
        </w:rPr>
        <w:t xml:space="preserve"> document outlines the guidelines and criteria for successful completion of the GenC Internship skilling program:</w:t>
      </w:r>
    </w:p>
    <w:tbl>
      <w:tblPr>
        <w:tblW w:w="9707" w:type="dxa"/>
        <w:tblLook w:val="04A0" w:firstRow="1" w:lastRow="0" w:firstColumn="1" w:lastColumn="0" w:noHBand="0" w:noVBand="1"/>
      </w:tblPr>
      <w:tblGrid>
        <w:gridCol w:w="1890"/>
        <w:gridCol w:w="7817"/>
      </w:tblGrid>
      <w:tr w:rsidR="0017595D" w:rsidRPr="00AA6ED9" w14:paraId="35586DDD" w14:textId="77777777" w:rsidTr="009322B1">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Performance indicators such as Performance Health Status (PHS - GREEN), Behavioral rating (CEFR &gt; = B2), and Attendance Health Status (AHS – 85%) are mandatory for successful completion. If a GenC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rsidTr="009322B1">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rsidTr="009322B1">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rsidTr="009322B1">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rsidTr="009322B1">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nterns must maintain minimum 85% attendance at the physical location every month to continue and successfully complete the program.</w:t>
            </w:r>
          </w:p>
        </w:tc>
      </w:tr>
      <w:tr w:rsidR="0017595D" w:rsidRPr="00AA6ED9" w14:paraId="0E6DFE9A" w14:textId="77777777" w:rsidTr="009322B1">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There could be exceptions to the applicability of evaluation components and deployment clauses based on demand and training outcomes, subject to ISL discretion and GenC program head approval.</w:t>
            </w:r>
          </w:p>
        </w:tc>
      </w:tr>
      <w:tr w:rsidR="0017595D" w:rsidRPr="00AA6ED9" w14:paraId="32C2E7A3" w14:textId="77777777" w:rsidTr="009322B1">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rsidTr="009322B1">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77777777" w:rsidR="0017595D" w:rsidRPr="00A04B35" w:rsidRDefault="0017595D" w:rsidP="0017595D">
      <w:pPr>
        <w:rPr>
          <w:rFonts w:ascii="Arial" w:hAnsi="Arial" w:cs="Arial"/>
        </w:rPr>
      </w:pPr>
    </w:p>
    <w:p w14:paraId="3327A176" w14:textId="77777777" w:rsidR="0017595D" w:rsidRPr="00A04B35" w:rsidRDefault="0017595D"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60800" behindDoc="0" locked="0" layoutInCell="1" allowOverlap="1" wp14:anchorId="468F1089" wp14:editId="51ACCB9B">
                <wp:simplePos x="0" y="0"/>
                <wp:positionH relativeFrom="column">
                  <wp:posOffset>0</wp:posOffset>
                </wp:positionH>
                <wp:positionV relativeFrom="paragraph">
                  <wp:posOffset>0</wp:posOffset>
                </wp:positionV>
                <wp:extent cx="6191250" cy="828675"/>
                <wp:effectExtent l="0" t="0" r="19050" b="28575"/>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97248" w14:textId="7974DE42"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34253D">
                              <w:rPr>
                                <w:rFonts w:ascii="Arial" w:hAnsi="Arial" w:cs="Arial"/>
                                <w:color w:val="000048"/>
                                <w:sz w:val="20"/>
                                <w:szCs w:val="20"/>
                              </w:rPr>
                              <w:t>Janapana Abhinav Reddy</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E83AA4">
                              <w:rPr>
                                <w:rFonts w:ascii="Arial" w:hAnsi="Arial" w:cs="Arial"/>
                                <w:color w:val="000048"/>
                                <w:sz w:val="20"/>
                                <w:szCs w:val="20"/>
                              </w:rPr>
                              <w:t xml:space="preserve"> </w:t>
                            </w:r>
                            <w:r w:rsidR="0062081D">
                              <w:rPr>
                                <w:rFonts w:ascii="Arial" w:hAnsi="Arial" w:cs="Arial"/>
                                <w:color w:val="000048"/>
                                <w:sz w:val="20"/>
                                <w:szCs w:val="20"/>
                              </w:rPr>
                              <w:t>2397955</w:t>
                            </w:r>
                          </w:p>
                          <w:p w14:paraId="40B22021" w14:textId="3D99C8BA"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131B59">
                              <w:rPr>
                                <w:rFonts w:ascii="Arial" w:hAnsi="Arial" w:cs="Arial"/>
                                <w:color w:val="000048"/>
                                <w:sz w:val="20"/>
                                <w:szCs w:val="20"/>
                              </w:rPr>
                              <w:t>Chennai</w:t>
                            </w:r>
                            <w:r w:rsidRPr="00862E3F">
                              <w:rPr>
                                <w:rFonts w:ascii="Arial" w:hAnsi="Arial" w:cs="Arial"/>
                                <w:color w:val="000048"/>
                                <w:sz w:val="20"/>
                                <w:szCs w:val="20"/>
                              </w:rPr>
                              <w:tab/>
                              <w:t xml:space="preserve">Date:  </w:t>
                            </w:r>
                            <w:r w:rsidR="00131B59">
                              <w:rPr>
                                <w:rFonts w:ascii="Arial" w:hAnsi="Arial" w:cs="Arial"/>
                                <w:color w:val="000048"/>
                                <w:sz w:val="20"/>
                                <w:szCs w:val="20"/>
                              </w:rPr>
                              <w:t>16</w:t>
                            </w:r>
                            <w:r w:rsidRPr="00A01F52">
                              <w:rPr>
                                <w:rFonts w:ascii="Arial" w:hAnsi="Arial" w:cs="Arial"/>
                                <w:color w:val="000048"/>
                                <w:sz w:val="20"/>
                                <w:szCs w:val="20"/>
                              </w:rPr>
                              <w:t xml:space="preserve"> / </w:t>
                            </w:r>
                            <w:r w:rsidR="00131B59">
                              <w:rPr>
                                <w:rFonts w:ascii="Arial" w:hAnsi="Arial" w:cs="Arial"/>
                                <w:color w:val="000048"/>
                                <w:sz w:val="20"/>
                                <w:szCs w:val="20"/>
                              </w:rPr>
                              <w:t>04</w:t>
                            </w:r>
                            <w:r w:rsidRPr="00A01F52">
                              <w:rPr>
                                <w:rFonts w:ascii="Arial" w:hAnsi="Arial" w:cs="Arial"/>
                                <w:color w:val="000048"/>
                                <w:sz w:val="20"/>
                                <w:szCs w:val="20"/>
                              </w:rPr>
                              <w:t xml:space="preserve"> / </w:t>
                            </w:r>
                            <w:r w:rsidR="009D6A04">
                              <w:t>2025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r>
                            <w:r w:rsidR="00916595">
                              <w:rPr>
                                <w:rFonts w:ascii="Arial" w:hAnsi="Arial" w:cs="Arial"/>
                                <w:color w:val="000048"/>
                                <w:sz w:val="20"/>
                                <w:szCs w:val="20"/>
                              </w:rPr>
                              <w:t xml:space="preserve">  </w:t>
                            </w:r>
                            <w:r w:rsidRPr="00862E3F">
                              <w:rPr>
                                <w:rFonts w:ascii="Arial" w:hAnsi="Arial" w:cs="Arial"/>
                                <w:color w:val="000048"/>
                                <w:sz w:val="20"/>
                                <w:szCs w:val="20"/>
                              </w:rPr>
                              <w:t>:</w:t>
                            </w:r>
                            <w:r w:rsidR="00916595">
                              <w:rPr>
                                <w:rFonts w:ascii="Arial" w:hAnsi="Arial" w:cs="Arial"/>
                                <w:color w:val="000048"/>
                                <w:sz w:val="20"/>
                                <w:szCs w:val="20"/>
                              </w:rPr>
                              <w:t xml:space="preserve">   </w:t>
                            </w:r>
                            <w:r w:rsidR="009D6A04" w:rsidRPr="009D6A04">
                              <w:rPr>
                                <w:rFonts w:ascii="Arial" w:hAnsi="Arial" w:cs="Arial"/>
                                <w:noProof/>
                                <w:color w:val="000048"/>
                                <w:sz w:val="20"/>
                                <w:szCs w:val="20"/>
                              </w:rPr>
                              <w:t xml:space="preserve"> </w:t>
                            </w:r>
                            <w:r w:rsidR="009D6A04">
                              <w:rPr>
                                <w:rFonts w:ascii="Arial" w:hAnsi="Arial" w:cs="Arial"/>
                                <w:noProof/>
                                <w:color w:val="000048"/>
                                <w:sz w:val="20"/>
                                <w:szCs w:val="20"/>
                              </w:rPr>
                              <w:drawing>
                                <wp:inline distT="0" distB="0" distL="0" distR="0" wp14:anchorId="706E7F9E" wp14:editId="7B432713">
                                  <wp:extent cx="854738" cy="294199"/>
                                  <wp:effectExtent l="0" t="0" r="2540" b="0"/>
                                  <wp:docPr id="145815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5066" name="Picture 1458155066"/>
                                          <pic:cNvPicPr/>
                                        </pic:nvPicPr>
                                        <pic:blipFill>
                                          <a:blip r:embed="rId33">
                                            <a:extLst>
                                              <a:ext uri="{28A0092B-C50C-407E-A947-70E740481C1C}">
                                                <a14:useLocalDpi xmlns:a14="http://schemas.microsoft.com/office/drawing/2010/main" val="0"/>
                                              </a:ext>
                                            </a:extLst>
                                          </a:blip>
                                          <a:stretch>
                                            <a:fillRect/>
                                          </a:stretch>
                                        </pic:blipFill>
                                        <pic:spPr>
                                          <a:xfrm>
                                            <a:off x="0" y="0"/>
                                            <a:ext cx="1028863" cy="354133"/>
                                          </a:xfrm>
                                          <a:prstGeom prst="rect">
                                            <a:avLst/>
                                          </a:prstGeom>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0;margin-top:0;width:487.5pt;height:6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" fillcolor="white [3201]" strokecolor="#4472c4 [3204]" strokeweight="1pt">
                <v:path arrowok="t"/>
                <v:textbox>
                  <w:txbxContent>
                    <w:p w14:paraId="74497248" w14:textId="7974DE42"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34253D">
                        <w:rPr>
                          <w:rFonts w:ascii="Arial" w:hAnsi="Arial" w:cs="Arial"/>
                          <w:color w:val="000048"/>
                          <w:sz w:val="20"/>
                          <w:szCs w:val="20"/>
                        </w:rPr>
                        <w:t>Janapana Abhinav Reddy</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E83AA4">
                        <w:rPr>
                          <w:rFonts w:ascii="Arial" w:hAnsi="Arial" w:cs="Arial"/>
                          <w:color w:val="000048"/>
                          <w:sz w:val="20"/>
                          <w:szCs w:val="20"/>
                        </w:rPr>
                        <w:t xml:space="preserve"> </w:t>
                      </w:r>
                      <w:r w:rsidR="0062081D">
                        <w:rPr>
                          <w:rFonts w:ascii="Arial" w:hAnsi="Arial" w:cs="Arial"/>
                          <w:color w:val="000048"/>
                          <w:sz w:val="20"/>
                          <w:szCs w:val="20"/>
                        </w:rPr>
                        <w:t>2397955</w:t>
                      </w:r>
                    </w:p>
                    <w:p w14:paraId="40B22021" w14:textId="3D99C8BA"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131B59">
                        <w:rPr>
                          <w:rFonts w:ascii="Arial" w:hAnsi="Arial" w:cs="Arial"/>
                          <w:color w:val="000048"/>
                          <w:sz w:val="20"/>
                          <w:szCs w:val="20"/>
                        </w:rPr>
                        <w:t>Chennai</w:t>
                      </w:r>
                      <w:r w:rsidRPr="00862E3F">
                        <w:rPr>
                          <w:rFonts w:ascii="Arial" w:hAnsi="Arial" w:cs="Arial"/>
                          <w:color w:val="000048"/>
                          <w:sz w:val="20"/>
                          <w:szCs w:val="20"/>
                        </w:rPr>
                        <w:tab/>
                        <w:t xml:space="preserve">Date:  </w:t>
                      </w:r>
                      <w:r w:rsidR="00131B59">
                        <w:rPr>
                          <w:rFonts w:ascii="Arial" w:hAnsi="Arial" w:cs="Arial"/>
                          <w:color w:val="000048"/>
                          <w:sz w:val="20"/>
                          <w:szCs w:val="20"/>
                        </w:rPr>
                        <w:t>16</w:t>
                      </w:r>
                      <w:r w:rsidRPr="00A01F52">
                        <w:rPr>
                          <w:rFonts w:ascii="Arial" w:hAnsi="Arial" w:cs="Arial"/>
                          <w:color w:val="000048"/>
                          <w:sz w:val="20"/>
                          <w:szCs w:val="20"/>
                        </w:rPr>
                        <w:t xml:space="preserve"> / </w:t>
                      </w:r>
                      <w:r w:rsidR="00131B59">
                        <w:rPr>
                          <w:rFonts w:ascii="Arial" w:hAnsi="Arial" w:cs="Arial"/>
                          <w:color w:val="000048"/>
                          <w:sz w:val="20"/>
                          <w:szCs w:val="20"/>
                        </w:rPr>
                        <w:t>04</w:t>
                      </w:r>
                      <w:r w:rsidRPr="00A01F52">
                        <w:rPr>
                          <w:rFonts w:ascii="Arial" w:hAnsi="Arial" w:cs="Arial"/>
                          <w:color w:val="000048"/>
                          <w:sz w:val="20"/>
                          <w:szCs w:val="20"/>
                        </w:rPr>
                        <w:t xml:space="preserve"> / </w:t>
                      </w:r>
                      <w:r w:rsidR="009D6A04">
                        <w:t>2025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r>
                      <w:r w:rsidR="00916595">
                        <w:rPr>
                          <w:rFonts w:ascii="Arial" w:hAnsi="Arial" w:cs="Arial"/>
                          <w:color w:val="000048"/>
                          <w:sz w:val="20"/>
                          <w:szCs w:val="20"/>
                        </w:rPr>
                        <w:t xml:space="preserve">  </w:t>
                      </w:r>
                      <w:r w:rsidRPr="00862E3F">
                        <w:rPr>
                          <w:rFonts w:ascii="Arial" w:hAnsi="Arial" w:cs="Arial"/>
                          <w:color w:val="000048"/>
                          <w:sz w:val="20"/>
                          <w:szCs w:val="20"/>
                        </w:rPr>
                        <w:t>:</w:t>
                      </w:r>
                      <w:r w:rsidR="00916595">
                        <w:rPr>
                          <w:rFonts w:ascii="Arial" w:hAnsi="Arial" w:cs="Arial"/>
                          <w:color w:val="000048"/>
                          <w:sz w:val="20"/>
                          <w:szCs w:val="20"/>
                        </w:rPr>
                        <w:t xml:space="preserve">   </w:t>
                      </w:r>
                      <w:r w:rsidR="009D6A04" w:rsidRPr="009D6A04">
                        <w:rPr>
                          <w:rFonts w:ascii="Arial" w:hAnsi="Arial" w:cs="Arial"/>
                          <w:noProof/>
                          <w:color w:val="000048"/>
                          <w:sz w:val="20"/>
                          <w:szCs w:val="20"/>
                        </w:rPr>
                        <w:t xml:space="preserve"> </w:t>
                      </w:r>
                      <w:r w:rsidR="009D6A04">
                        <w:rPr>
                          <w:rFonts w:ascii="Arial" w:hAnsi="Arial" w:cs="Arial"/>
                          <w:noProof/>
                          <w:color w:val="000048"/>
                          <w:sz w:val="20"/>
                          <w:szCs w:val="20"/>
                        </w:rPr>
                        <w:drawing>
                          <wp:inline distT="0" distB="0" distL="0" distR="0" wp14:anchorId="706E7F9E" wp14:editId="7B432713">
                            <wp:extent cx="854738" cy="294199"/>
                            <wp:effectExtent l="0" t="0" r="2540" b="0"/>
                            <wp:docPr id="145815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5066" name="Picture 1458155066"/>
                                    <pic:cNvPicPr/>
                                  </pic:nvPicPr>
                                  <pic:blipFill>
                                    <a:blip r:embed="rId33">
                                      <a:extLst>
                                        <a:ext uri="{28A0092B-C50C-407E-A947-70E740481C1C}">
                                          <a14:useLocalDpi xmlns:a14="http://schemas.microsoft.com/office/drawing/2010/main" val="0"/>
                                        </a:ext>
                                      </a:extLst>
                                    </a:blip>
                                    <a:stretch>
                                      <a:fillRect/>
                                    </a:stretch>
                                  </pic:blipFill>
                                  <pic:spPr>
                                    <a:xfrm>
                                      <a:off x="0" y="0"/>
                                      <a:ext cx="1028863" cy="354133"/>
                                    </a:xfrm>
                                    <a:prstGeom prst="rect">
                                      <a:avLst/>
                                    </a:prstGeom>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v:textbox>
              </v:rect>
            </w:pict>
          </mc:Fallback>
        </mc:AlternateContent>
      </w:r>
      <w:bookmarkEnd w:id="92"/>
    </w:p>
    <w:sectPr w:rsidR="0017595D" w:rsidRPr="00A04B35" w:rsidSect="003015B0">
      <w:headerReference w:type="default" r:id="rId34"/>
      <w:footerReference w:type="default" r:id="rId35"/>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B52A4" w14:textId="77777777" w:rsidR="00EA274F" w:rsidRDefault="00EA274F" w:rsidP="00066922">
      <w:pPr>
        <w:spacing w:after="0" w:line="240" w:lineRule="auto"/>
      </w:pPr>
      <w:r>
        <w:separator/>
      </w:r>
    </w:p>
  </w:endnote>
  <w:endnote w:type="continuationSeparator" w:id="0">
    <w:p w14:paraId="6EB42D8A" w14:textId="77777777" w:rsidR="00EA274F" w:rsidRDefault="00EA274F" w:rsidP="0006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E45EB" w14:textId="77777777" w:rsidR="00EA274F" w:rsidRDefault="00EA274F" w:rsidP="00066922">
      <w:pPr>
        <w:spacing w:after="0" w:line="240" w:lineRule="auto"/>
      </w:pPr>
      <w:r>
        <w:separator/>
      </w:r>
    </w:p>
  </w:footnote>
  <w:footnote w:type="continuationSeparator" w:id="0">
    <w:p w14:paraId="7C169A4E" w14:textId="77777777" w:rsidR="00EA274F" w:rsidRDefault="00EA274F" w:rsidP="0006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r>
      <w:rPr>
        <w:rFonts w:cs="Arial"/>
        <w:b/>
        <w:sz w:val="18"/>
      </w:rPr>
      <w:t xml:space="preserve">GenC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C40AE"/>
    <w:rsid w:val="000D0A6E"/>
    <w:rsid w:val="000D3E49"/>
    <w:rsid w:val="000D492C"/>
    <w:rsid w:val="000E55A4"/>
    <w:rsid w:val="000F2712"/>
    <w:rsid w:val="001016FB"/>
    <w:rsid w:val="00104549"/>
    <w:rsid w:val="00106089"/>
    <w:rsid w:val="00106C80"/>
    <w:rsid w:val="001167BD"/>
    <w:rsid w:val="00116CCA"/>
    <w:rsid w:val="00131B59"/>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73BC"/>
    <w:rsid w:val="001D7775"/>
    <w:rsid w:val="001D7BBD"/>
    <w:rsid w:val="001E0BE9"/>
    <w:rsid w:val="001E2C91"/>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6AD4"/>
    <w:rsid w:val="002D1173"/>
    <w:rsid w:val="002D7E1E"/>
    <w:rsid w:val="002F7AEA"/>
    <w:rsid w:val="003015B0"/>
    <w:rsid w:val="00302885"/>
    <w:rsid w:val="00303420"/>
    <w:rsid w:val="003133D8"/>
    <w:rsid w:val="00315052"/>
    <w:rsid w:val="0032233B"/>
    <w:rsid w:val="00330899"/>
    <w:rsid w:val="00341C14"/>
    <w:rsid w:val="0034253D"/>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A0FD5"/>
    <w:rsid w:val="003A256D"/>
    <w:rsid w:val="003A392B"/>
    <w:rsid w:val="003A63BA"/>
    <w:rsid w:val="003B11BD"/>
    <w:rsid w:val="003B2426"/>
    <w:rsid w:val="003B7CE8"/>
    <w:rsid w:val="003C3029"/>
    <w:rsid w:val="003C4E35"/>
    <w:rsid w:val="003D4BC4"/>
    <w:rsid w:val="003E2634"/>
    <w:rsid w:val="003E447A"/>
    <w:rsid w:val="003E6E33"/>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549E"/>
    <w:rsid w:val="0045762F"/>
    <w:rsid w:val="00457EB9"/>
    <w:rsid w:val="004602BD"/>
    <w:rsid w:val="00463C93"/>
    <w:rsid w:val="004664E8"/>
    <w:rsid w:val="004705E8"/>
    <w:rsid w:val="0047092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304"/>
    <w:rsid w:val="004A7E91"/>
    <w:rsid w:val="004B179A"/>
    <w:rsid w:val="004B270E"/>
    <w:rsid w:val="004B273B"/>
    <w:rsid w:val="004B2BCB"/>
    <w:rsid w:val="004B6BE3"/>
    <w:rsid w:val="004B6F00"/>
    <w:rsid w:val="004C0D25"/>
    <w:rsid w:val="004C743C"/>
    <w:rsid w:val="004D41EF"/>
    <w:rsid w:val="004D7293"/>
    <w:rsid w:val="004E42FB"/>
    <w:rsid w:val="004E790D"/>
    <w:rsid w:val="005039B4"/>
    <w:rsid w:val="00503B97"/>
    <w:rsid w:val="005153EB"/>
    <w:rsid w:val="00515DC4"/>
    <w:rsid w:val="005319C0"/>
    <w:rsid w:val="00536E9C"/>
    <w:rsid w:val="00543CE3"/>
    <w:rsid w:val="005501A6"/>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2081D"/>
    <w:rsid w:val="00632B8B"/>
    <w:rsid w:val="00636AFA"/>
    <w:rsid w:val="00645443"/>
    <w:rsid w:val="00645709"/>
    <w:rsid w:val="00654D82"/>
    <w:rsid w:val="006558CC"/>
    <w:rsid w:val="00656640"/>
    <w:rsid w:val="00656878"/>
    <w:rsid w:val="0065794D"/>
    <w:rsid w:val="00662C04"/>
    <w:rsid w:val="00663008"/>
    <w:rsid w:val="006658D8"/>
    <w:rsid w:val="006719E4"/>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CC4"/>
    <w:rsid w:val="006D7B31"/>
    <w:rsid w:val="006E2845"/>
    <w:rsid w:val="006F1D0F"/>
    <w:rsid w:val="006F25EA"/>
    <w:rsid w:val="006F7E5E"/>
    <w:rsid w:val="007038BB"/>
    <w:rsid w:val="007051EA"/>
    <w:rsid w:val="0070540D"/>
    <w:rsid w:val="00705C0A"/>
    <w:rsid w:val="0071039A"/>
    <w:rsid w:val="00711E41"/>
    <w:rsid w:val="00713016"/>
    <w:rsid w:val="00713DDF"/>
    <w:rsid w:val="00714332"/>
    <w:rsid w:val="00715245"/>
    <w:rsid w:val="0072083F"/>
    <w:rsid w:val="00724DF0"/>
    <w:rsid w:val="007251C1"/>
    <w:rsid w:val="007356AB"/>
    <w:rsid w:val="00741ECB"/>
    <w:rsid w:val="0074210D"/>
    <w:rsid w:val="00743452"/>
    <w:rsid w:val="00745445"/>
    <w:rsid w:val="007502DC"/>
    <w:rsid w:val="00750636"/>
    <w:rsid w:val="0075162E"/>
    <w:rsid w:val="007521A5"/>
    <w:rsid w:val="00754E39"/>
    <w:rsid w:val="007568A6"/>
    <w:rsid w:val="00760D63"/>
    <w:rsid w:val="00764521"/>
    <w:rsid w:val="00767CE9"/>
    <w:rsid w:val="00771740"/>
    <w:rsid w:val="00775E72"/>
    <w:rsid w:val="00776F01"/>
    <w:rsid w:val="00777A11"/>
    <w:rsid w:val="00782B45"/>
    <w:rsid w:val="00786F40"/>
    <w:rsid w:val="007A037B"/>
    <w:rsid w:val="007A05FF"/>
    <w:rsid w:val="007A132F"/>
    <w:rsid w:val="007A2D6D"/>
    <w:rsid w:val="007A409B"/>
    <w:rsid w:val="007A47A8"/>
    <w:rsid w:val="007A7356"/>
    <w:rsid w:val="007C4607"/>
    <w:rsid w:val="007C74C8"/>
    <w:rsid w:val="007D50C0"/>
    <w:rsid w:val="007D5BBF"/>
    <w:rsid w:val="007E26DB"/>
    <w:rsid w:val="007E2FE7"/>
    <w:rsid w:val="007E5E45"/>
    <w:rsid w:val="007E645D"/>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2660C"/>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738D"/>
    <w:rsid w:val="008A3A68"/>
    <w:rsid w:val="008A48E2"/>
    <w:rsid w:val="008B087C"/>
    <w:rsid w:val="008B0AC9"/>
    <w:rsid w:val="008B4CE4"/>
    <w:rsid w:val="008B51E1"/>
    <w:rsid w:val="008B66FB"/>
    <w:rsid w:val="008C0A13"/>
    <w:rsid w:val="008C16B3"/>
    <w:rsid w:val="008C4EBF"/>
    <w:rsid w:val="008D0588"/>
    <w:rsid w:val="008D0C3B"/>
    <w:rsid w:val="008D20DC"/>
    <w:rsid w:val="008D6343"/>
    <w:rsid w:val="008E5A3F"/>
    <w:rsid w:val="008E5BDE"/>
    <w:rsid w:val="008E6EC0"/>
    <w:rsid w:val="008F2922"/>
    <w:rsid w:val="00910684"/>
    <w:rsid w:val="00916595"/>
    <w:rsid w:val="00917C60"/>
    <w:rsid w:val="00927289"/>
    <w:rsid w:val="00927F04"/>
    <w:rsid w:val="0093026E"/>
    <w:rsid w:val="009306A7"/>
    <w:rsid w:val="00930EA1"/>
    <w:rsid w:val="00932667"/>
    <w:rsid w:val="00932DBA"/>
    <w:rsid w:val="0093760B"/>
    <w:rsid w:val="00941452"/>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6A04"/>
    <w:rsid w:val="009D79F8"/>
    <w:rsid w:val="009E3073"/>
    <w:rsid w:val="009F3CE7"/>
    <w:rsid w:val="009F5363"/>
    <w:rsid w:val="009F6166"/>
    <w:rsid w:val="00A00AC3"/>
    <w:rsid w:val="00A01AF9"/>
    <w:rsid w:val="00A03CF2"/>
    <w:rsid w:val="00A03D2E"/>
    <w:rsid w:val="00A04203"/>
    <w:rsid w:val="00A04BEE"/>
    <w:rsid w:val="00A05444"/>
    <w:rsid w:val="00A119C4"/>
    <w:rsid w:val="00A13366"/>
    <w:rsid w:val="00A25848"/>
    <w:rsid w:val="00A31EDB"/>
    <w:rsid w:val="00A34C83"/>
    <w:rsid w:val="00A34DF4"/>
    <w:rsid w:val="00A50DBC"/>
    <w:rsid w:val="00A51355"/>
    <w:rsid w:val="00A51A83"/>
    <w:rsid w:val="00A5281F"/>
    <w:rsid w:val="00A53549"/>
    <w:rsid w:val="00A6059C"/>
    <w:rsid w:val="00A64189"/>
    <w:rsid w:val="00A70166"/>
    <w:rsid w:val="00A71E9A"/>
    <w:rsid w:val="00A774F0"/>
    <w:rsid w:val="00AA0247"/>
    <w:rsid w:val="00AA188C"/>
    <w:rsid w:val="00AA357C"/>
    <w:rsid w:val="00AA7F7F"/>
    <w:rsid w:val="00AB0FAA"/>
    <w:rsid w:val="00AC4491"/>
    <w:rsid w:val="00AD4057"/>
    <w:rsid w:val="00AD593F"/>
    <w:rsid w:val="00AF4448"/>
    <w:rsid w:val="00B016E9"/>
    <w:rsid w:val="00B0514B"/>
    <w:rsid w:val="00B06BB8"/>
    <w:rsid w:val="00B07821"/>
    <w:rsid w:val="00B07979"/>
    <w:rsid w:val="00B27A0E"/>
    <w:rsid w:val="00B30A5D"/>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C1897"/>
    <w:rsid w:val="00BC613B"/>
    <w:rsid w:val="00BC780A"/>
    <w:rsid w:val="00BD2037"/>
    <w:rsid w:val="00BD3718"/>
    <w:rsid w:val="00BD40DB"/>
    <w:rsid w:val="00BD5A22"/>
    <w:rsid w:val="00BE5CE8"/>
    <w:rsid w:val="00BE5DF9"/>
    <w:rsid w:val="00BE73B0"/>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7176F"/>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D2ADB"/>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406A"/>
    <w:rsid w:val="00E2765A"/>
    <w:rsid w:val="00E31678"/>
    <w:rsid w:val="00E35C25"/>
    <w:rsid w:val="00E4062E"/>
    <w:rsid w:val="00E41C0E"/>
    <w:rsid w:val="00E42F9B"/>
    <w:rsid w:val="00E445DA"/>
    <w:rsid w:val="00E47611"/>
    <w:rsid w:val="00E47EAE"/>
    <w:rsid w:val="00E500A4"/>
    <w:rsid w:val="00E50764"/>
    <w:rsid w:val="00E521A7"/>
    <w:rsid w:val="00E53CBE"/>
    <w:rsid w:val="00E55B01"/>
    <w:rsid w:val="00E56C76"/>
    <w:rsid w:val="00E60B4A"/>
    <w:rsid w:val="00E62769"/>
    <w:rsid w:val="00E6636E"/>
    <w:rsid w:val="00E73327"/>
    <w:rsid w:val="00E7509E"/>
    <w:rsid w:val="00E7586A"/>
    <w:rsid w:val="00E77B14"/>
    <w:rsid w:val="00E82EBA"/>
    <w:rsid w:val="00E83AA4"/>
    <w:rsid w:val="00E920B4"/>
    <w:rsid w:val="00E9327E"/>
    <w:rsid w:val="00E93677"/>
    <w:rsid w:val="00E97F6D"/>
    <w:rsid w:val="00EA04D1"/>
    <w:rsid w:val="00EA0877"/>
    <w:rsid w:val="00EA274F"/>
    <w:rsid w:val="00EA32CB"/>
    <w:rsid w:val="00EA3E4B"/>
    <w:rsid w:val="00EA447A"/>
    <w:rsid w:val="00EA497A"/>
    <w:rsid w:val="00EB2176"/>
    <w:rsid w:val="00EB42D8"/>
    <w:rsid w:val="00EB54A8"/>
    <w:rsid w:val="00EC29FB"/>
    <w:rsid w:val="00EC77FC"/>
    <w:rsid w:val="00ED436E"/>
    <w:rsid w:val="00ED7942"/>
    <w:rsid w:val="00EE05DB"/>
    <w:rsid w:val="00EE314F"/>
    <w:rsid w:val="00EE4B1F"/>
    <w:rsid w:val="00EE7299"/>
    <w:rsid w:val="00EF0825"/>
    <w:rsid w:val="00EF1F82"/>
    <w:rsid w:val="00EF2FAF"/>
    <w:rsid w:val="00EF5E4B"/>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70417"/>
    <w:rsid w:val="00F70B9D"/>
    <w:rsid w:val="00F73C71"/>
    <w:rsid w:val="00F7543E"/>
    <w:rsid w:val="00F76A14"/>
    <w:rsid w:val="00F77403"/>
    <w:rsid w:val="00F77C55"/>
    <w:rsid w:val="00F819BD"/>
    <w:rsid w:val="00F82361"/>
    <w:rsid w:val="00F8352E"/>
    <w:rsid w:val="00F952F6"/>
    <w:rsid w:val="00F97DDF"/>
    <w:rsid w:val="00FA4734"/>
    <w:rsid w:val="00FB08F3"/>
    <w:rsid w:val="00FC13B1"/>
    <w:rsid w:val="00FC3B54"/>
    <w:rsid w:val="00FC3E1C"/>
    <w:rsid w:val="00FC562B"/>
    <w:rsid w:val="00FD553A"/>
    <w:rsid w:val="00FD65C9"/>
    <w:rsid w:val="00FF24DB"/>
    <w:rsid w:val="00FF2BF3"/>
    <w:rsid w:val="00FF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3F9C7885-22EC-4B75-8612-F2A4C1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Props1.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2.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5280F-1E07-43D9-9C7A-6DBF6231346E}">
  <ds:schemaRefs>
    <ds:schemaRef ds:uri="http://schemas.microsoft.com/sharepoint/v3/contenttype/forms"/>
  </ds:schemaRefs>
</ds:datastoreItem>
</file>

<file path=customXml/itemProps4.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21</Pages>
  <Words>5644</Words>
  <Characters>32176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Narayanan.Krishnamurthy@cognizant.com</Manager>
  <Company>Cognizant</Company>
  <LinksUpToDate>false</LinksUpToDate>
  <CharactersWithSpaces>37745</CharactersWithSpaces>
  <SharedDoc>false</SharedDoc>
  <HLinks>
    <vt:vector size="162" baseType="variant">
      <vt:variant>
        <vt:i4>6357048</vt:i4>
      </vt:variant>
      <vt:variant>
        <vt:i4>135</vt:i4>
      </vt:variant>
      <vt:variant>
        <vt:i4>0</vt:i4>
      </vt:variant>
      <vt:variant>
        <vt:i4>5</vt:i4>
      </vt:variant>
      <vt:variant>
        <vt:lpwstr>https://be.cognizant.com/sites/global-human-resources/hr-benefits-india/SitePage/809934/india-policies-homepage</vt:lpwstr>
      </vt:variant>
      <vt:variant>
        <vt:lpwstr/>
      </vt:variant>
      <vt:variant>
        <vt:i4>589915</vt:i4>
      </vt:variant>
      <vt:variant>
        <vt:i4>132</vt:i4>
      </vt:variant>
      <vt:variant>
        <vt:i4>0</vt:i4>
      </vt:variant>
      <vt:variant>
        <vt:i4>5</vt:i4>
      </vt:variant>
      <vt:variant>
        <vt:lpwstr>https://be.cognizant.com/sites/cognizant-india/corporate-workplace-services-india/SitePage/852656/new-associate-checklist</vt:lpwstr>
      </vt:variant>
      <vt:variant>
        <vt:lpwstr/>
      </vt:variant>
      <vt:variant>
        <vt:i4>2031709</vt:i4>
      </vt:variant>
      <vt:variant>
        <vt:i4>129</vt:i4>
      </vt:variant>
      <vt:variant>
        <vt:i4>0</vt:i4>
      </vt:variant>
      <vt:variant>
        <vt:i4>5</vt:i4>
      </vt:variant>
      <vt:variant>
        <vt:lpwstr>https://be.cognizant.com/sites/cognizant-india/corporate-workplace-services-india/SitePage/995245/flexible-workspace-program</vt:lpwstr>
      </vt:variant>
      <vt:variant>
        <vt:lpwstr/>
      </vt:variant>
      <vt:variant>
        <vt:i4>3145762</vt:i4>
      </vt:variant>
      <vt:variant>
        <vt:i4>126</vt:i4>
      </vt:variant>
      <vt:variant>
        <vt:i4>0</vt:i4>
      </vt:variant>
      <vt:variant>
        <vt:i4>5</vt:i4>
      </vt:variant>
      <vt:variant>
        <vt:lpwstr>https://onecognizant.cognizant.com/?GlobalAppId=486</vt:lpwstr>
      </vt:variant>
      <vt:variant>
        <vt:lpwstr/>
      </vt:variant>
      <vt:variant>
        <vt:i4>5046334</vt:i4>
      </vt:variant>
      <vt:variant>
        <vt:i4>123</vt:i4>
      </vt:variant>
      <vt:variant>
        <vt:i4>0</vt:i4>
      </vt:variant>
      <vt:variant>
        <vt:i4>5</vt:i4>
      </vt:variant>
      <vt:variant>
        <vt:lpwstr>https://cognizantonline.sharepoint.com/:b:/r/sites/GenCStandard/Shared Documents/GenC Implementation Process Docs/Policies %26 Guidelines/GenC_Virtual Assessment_Misconduct Policy_V1.1.pdf?csf=1&amp;web=1&amp;e=c5bUTc</vt:lpwstr>
      </vt:variant>
      <vt:variant>
        <vt:lpwstr/>
      </vt:variant>
      <vt:variant>
        <vt:i4>6619175</vt:i4>
      </vt:variant>
      <vt:variant>
        <vt:i4>120</vt:i4>
      </vt:variant>
      <vt:variant>
        <vt:i4>0</vt:i4>
      </vt:variant>
      <vt:variant>
        <vt:i4>5</vt:i4>
      </vt:variant>
      <vt:variant>
        <vt:lpwstr>https://be.cognizant.com/sites/ethics-compliance/SitePage/289365/ethics-compliance-homepage</vt:lpwstr>
      </vt:variant>
      <vt:variant>
        <vt:lpwstr/>
      </vt:variant>
      <vt:variant>
        <vt:i4>7798884</vt:i4>
      </vt:variant>
      <vt:variant>
        <vt:i4>117</vt:i4>
      </vt:variant>
      <vt:variant>
        <vt:i4>0</vt:i4>
      </vt:variant>
      <vt:variant>
        <vt:i4>5</vt:i4>
      </vt:variant>
      <vt:variant>
        <vt:lpwstr>https://be.cognizant.com/sites/global-corporate-policies/SitePage/555388/global-corporate-policies</vt:lpwstr>
      </vt:variant>
      <vt:variant>
        <vt:lpwstr/>
      </vt:variant>
      <vt:variant>
        <vt:i4>4259925</vt:i4>
      </vt:variant>
      <vt:variant>
        <vt:i4>114</vt:i4>
      </vt:variant>
      <vt:variant>
        <vt:i4>0</vt:i4>
      </vt:variant>
      <vt:variant>
        <vt:i4>5</vt:i4>
      </vt:variant>
      <vt:variant>
        <vt:lpwstr>https://be.cognizant.com/documents/preview/406771/Code-of-Ethics-English</vt:lpwstr>
      </vt:variant>
      <vt:variant>
        <vt:lpwstr/>
      </vt:variant>
      <vt:variant>
        <vt:i4>6357036</vt:i4>
      </vt:variant>
      <vt:variant>
        <vt:i4>111</vt:i4>
      </vt:variant>
      <vt:variant>
        <vt:i4>0</vt:i4>
      </vt:variant>
      <vt:variant>
        <vt:i4>5</vt:i4>
      </vt:variant>
      <vt:variant>
        <vt:lpwstr>https://cognizantonline.sharepoint.com/:f:/r/sites/GenCStandard/Shared Documents/GenC Implementation Process Docs/Policies %26 Guidelines?csf=1&amp;web=1&amp;e=VO5j1g</vt:lpwstr>
      </vt:variant>
      <vt:variant>
        <vt:lpwstr/>
      </vt:variant>
      <vt:variant>
        <vt:i4>1507381</vt:i4>
      </vt:variant>
      <vt:variant>
        <vt:i4>104</vt:i4>
      </vt:variant>
      <vt:variant>
        <vt:i4>0</vt:i4>
      </vt:variant>
      <vt:variant>
        <vt:i4>5</vt:i4>
      </vt:variant>
      <vt:variant>
        <vt:lpwstr/>
      </vt:variant>
      <vt:variant>
        <vt:lpwstr>_Toc88588707</vt:lpwstr>
      </vt:variant>
      <vt:variant>
        <vt:i4>1441845</vt:i4>
      </vt:variant>
      <vt:variant>
        <vt:i4>98</vt:i4>
      </vt:variant>
      <vt:variant>
        <vt:i4>0</vt:i4>
      </vt:variant>
      <vt:variant>
        <vt:i4>5</vt:i4>
      </vt:variant>
      <vt:variant>
        <vt:lpwstr/>
      </vt:variant>
      <vt:variant>
        <vt:lpwstr>_Toc88588706</vt:lpwstr>
      </vt:variant>
      <vt:variant>
        <vt:i4>1376309</vt:i4>
      </vt:variant>
      <vt:variant>
        <vt:i4>92</vt:i4>
      </vt:variant>
      <vt:variant>
        <vt:i4>0</vt:i4>
      </vt:variant>
      <vt:variant>
        <vt:i4>5</vt:i4>
      </vt:variant>
      <vt:variant>
        <vt:lpwstr/>
      </vt:variant>
      <vt:variant>
        <vt:lpwstr>_Toc88588705</vt:lpwstr>
      </vt:variant>
      <vt:variant>
        <vt:i4>1310773</vt:i4>
      </vt:variant>
      <vt:variant>
        <vt:i4>86</vt:i4>
      </vt:variant>
      <vt:variant>
        <vt:i4>0</vt:i4>
      </vt:variant>
      <vt:variant>
        <vt:i4>5</vt:i4>
      </vt:variant>
      <vt:variant>
        <vt:lpwstr/>
      </vt:variant>
      <vt:variant>
        <vt:lpwstr>_Toc88588704</vt:lpwstr>
      </vt:variant>
      <vt:variant>
        <vt:i4>1245237</vt:i4>
      </vt:variant>
      <vt:variant>
        <vt:i4>80</vt:i4>
      </vt:variant>
      <vt:variant>
        <vt:i4>0</vt:i4>
      </vt:variant>
      <vt:variant>
        <vt:i4>5</vt:i4>
      </vt:variant>
      <vt:variant>
        <vt:lpwstr/>
      </vt:variant>
      <vt:variant>
        <vt:lpwstr>_Toc88588703</vt:lpwstr>
      </vt:variant>
      <vt:variant>
        <vt:i4>1179701</vt:i4>
      </vt:variant>
      <vt:variant>
        <vt:i4>74</vt:i4>
      </vt:variant>
      <vt:variant>
        <vt:i4>0</vt:i4>
      </vt:variant>
      <vt:variant>
        <vt:i4>5</vt:i4>
      </vt:variant>
      <vt:variant>
        <vt:lpwstr/>
      </vt:variant>
      <vt:variant>
        <vt:lpwstr>_Toc88588702</vt:lpwstr>
      </vt:variant>
      <vt:variant>
        <vt:i4>1114165</vt:i4>
      </vt:variant>
      <vt:variant>
        <vt:i4>68</vt:i4>
      </vt:variant>
      <vt:variant>
        <vt:i4>0</vt:i4>
      </vt:variant>
      <vt:variant>
        <vt:i4>5</vt:i4>
      </vt:variant>
      <vt:variant>
        <vt:lpwstr/>
      </vt:variant>
      <vt:variant>
        <vt:lpwstr>_Toc88588701</vt:lpwstr>
      </vt:variant>
      <vt:variant>
        <vt:i4>1048629</vt:i4>
      </vt:variant>
      <vt:variant>
        <vt:i4>62</vt:i4>
      </vt:variant>
      <vt:variant>
        <vt:i4>0</vt:i4>
      </vt:variant>
      <vt:variant>
        <vt:i4>5</vt:i4>
      </vt:variant>
      <vt:variant>
        <vt:lpwstr/>
      </vt:variant>
      <vt:variant>
        <vt:lpwstr>_Toc88588700</vt:lpwstr>
      </vt:variant>
      <vt:variant>
        <vt:i4>1572924</vt:i4>
      </vt:variant>
      <vt:variant>
        <vt:i4>56</vt:i4>
      </vt:variant>
      <vt:variant>
        <vt:i4>0</vt:i4>
      </vt:variant>
      <vt:variant>
        <vt:i4>5</vt:i4>
      </vt:variant>
      <vt:variant>
        <vt:lpwstr/>
      </vt:variant>
      <vt:variant>
        <vt:lpwstr>_Toc88588699</vt:lpwstr>
      </vt:variant>
      <vt:variant>
        <vt:i4>1638460</vt:i4>
      </vt:variant>
      <vt:variant>
        <vt:i4>50</vt:i4>
      </vt:variant>
      <vt:variant>
        <vt:i4>0</vt:i4>
      </vt:variant>
      <vt:variant>
        <vt:i4>5</vt:i4>
      </vt:variant>
      <vt:variant>
        <vt:lpwstr/>
      </vt:variant>
      <vt:variant>
        <vt:lpwstr>_Toc88588698</vt:lpwstr>
      </vt:variant>
      <vt:variant>
        <vt:i4>1441852</vt:i4>
      </vt:variant>
      <vt:variant>
        <vt:i4>44</vt:i4>
      </vt:variant>
      <vt:variant>
        <vt:i4>0</vt:i4>
      </vt:variant>
      <vt:variant>
        <vt:i4>5</vt:i4>
      </vt:variant>
      <vt:variant>
        <vt:lpwstr/>
      </vt:variant>
      <vt:variant>
        <vt:lpwstr>_Toc88588697</vt:lpwstr>
      </vt:variant>
      <vt:variant>
        <vt:i4>1507388</vt:i4>
      </vt:variant>
      <vt:variant>
        <vt:i4>38</vt:i4>
      </vt:variant>
      <vt:variant>
        <vt:i4>0</vt:i4>
      </vt:variant>
      <vt:variant>
        <vt:i4>5</vt:i4>
      </vt:variant>
      <vt:variant>
        <vt:lpwstr/>
      </vt:variant>
      <vt:variant>
        <vt:lpwstr>_Toc88588696</vt:lpwstr>
      </vt:variant>
      <vt:variant>
        <vt:i4>1310780</vt:i4>
      </vt:variant>
      <vt:variant>
        <vt:i4>32</vt:i4>
      </vt:variant>
      <vt:variant>
        <vt:i4>0</vt:i4>
      </vt:variant>
      <vt:variant>
        <vt:i4>5</vt:i4>
      </vt:variant>
      <vt:variant>
        <vt:lpwstr/>
      </vt:variant>
      <vt:variant>
        <vt:lpwstr>_Toc88588695</vt:lpwstr>
      </vt:variant>
      <vt:variant>
        <vt:i4>1376316</vt:i4>
      </vt:variant>
      <vt:variant>
        <vt:i4>26</vt:i4>
      </vt:variant>
      <vt:variant>
        <vt:i4>0</vt:i4>
      </vt:variant>
      <vt:variant>
        <vt:i4>5</vt:i4>
      </vt:variant>
      <vt:variant>
        <vt:lpwstr/>
      </vt:variant>
      <vt:variant>
        <vt:lpwstr>_Toc88588694</vt:lpwstr>
      </vt:variant>
      <vt:variant>
        <vt:i4>1179708</vt:i4>
      </vt:variant>
      <vt:variant>
        <vt:i4>20</vt:i4>
      </vt:variant>
      <vt:variant>
        <vt:i4>0</vt:i4>
      </vt:variant>
      <vt:variant>
        <vt:i4>5</vt:i4>
      </vt:variant>
      <vt:variant>
        <vt:lpwstr/>
      </vt:variant>
      <vt:variant>
        <vt:lpwstr>_Toc88588693</vt:lpwstr>
      </vt:variant>
      <vt:variant>
        <vt:i4>1245244</vt:i4>
      </vt:variant>
      <vt:variant>
        <vt:i4>14</vt:i4>
      </vt:variant>
      <vt:variant>
        <vt:i4>0</vt:i4>
      </vt:variant>
      <vt:variant>
        <vt:i4>5</vt:i4>
      </vt:variant>
      <vt:variant>
        <vt:lpwstr/>
      </vt:variant>
      <vt:variant>
        <vt:lpwstr>_Toc88588692</vt:lpwstr>
      </vt:variant>
      <vt:variant>
        <vt:i4>1048636</vt:i4>
      </vt:variant>
      <vt:variant>
        <vt:i4>8</vt:i4>
      </vt:variant>
      <vt:variant>
        <vt:i4>0</vt:i4>
      </vt:variant>
      <vt:variant>
        <vt:i4>5</vt:i4>
      </vt:variant>
      <vt:variant>
        <vt:lpwstr/>
      </vt:variant>
      <vt:variant>
        <vt:lpwstr>_Toc88588691</vt:lpwstr>
      </vt:variant>
      <vt:variant>
        <vt:i4>1114172</vt:i4>
      </vt:variant>
      <vt:variant>
        <vt:i4>2</vt:i4>
      </vt:variant>
      <vt:variant>
        <vt:i4>0</vt:i4>
      </vt:variant>
      <vt:variant>
        <vt:i4>5</vt:i4>
      </vt:variant>
      <vt:variant>
        <vt:lpwstr/>
      </vt:variant>
      <vt:variant>
        <vt:lpwstr>_Toc88588690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Abhinav Reddy, Janapana (Contractor)</cp:lastModifiedBy>
  <cp:revision>63</cp:revision>
  <dcterms:created xsi:type="dcterms:W3CDTF">2025-02-20T11:30:00Z</dcterms:created>
  <dcterms:modified xsi:type="dcterms:W3CDTF">2025-04-16T09:22:00Z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