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color w:val="888888"/>
          <w:spacing w:val="200"/>
          <w:sz w:val="20"/>
          <w:szCs w:val="20"/>
        </w:rPr>
        <w:t xml:space="preserve">PRODUCT CASE STUDY</w:t>
      </w:r>
    </w:p>
    <w:p>
      <w:pPr>
        <w:spacing w:after="200"/>
        <w:jc w:val="center"/>
      </w:pPr>
      <w:r>
        <w:rPr>
          <w:rFonts w:ascii="Arial" w:cs="Arial" w:eastAsia="Arial" w:hAnsi="Arial"/>
          <w:b/>
          <w:bCs/>
          <w:color w:val="1A6B3C"/>
          <w:sz w:val="52"/>
          <w:szCs w:val="52"/>
        </w:rPr>
        <w:t xml:space="preserve">Project Sunroof 2.0</w:t>
      </w:r>
    </w:p>
    <w:p>
      <w:pPr>
        <w:spacing w:after="120"/>
        <w:jc w:val="center"/>
      </w:pPr>
      <w:r>
        <w:rPr>
          <w:rFonts w:ascii="Arial" w:cs="Arial" w:eastAsia="Arial" w:hAnsi="Arial"/>
          <w:color w:val="1B3A2A"/>
          <w:sz w:val="26"/>
          <w:szCs w:val="26"/>
        </w:rPr>
        <w:t xml:space="preserve">A Multi-Scalar Approach to Radiant Energy Mapping</w:t>
      </w:r>
    </w:p>
    <w:p>
      <w:pPr>
        <w:spacing w:after="80"/>
        <w:jc w:val="center"/>
      </w:pPr>
      <w:r>
        <w:rPr>
          <w:rFonts w:ascii="Arial" w:cs="Arial" w:eastAsia="Arial" w:hAnsi="Arial"/>
          <w:color w:val="555555"/>
          <w:sz w:val="22"/>
          <w:szCs w:val="22"/>
        </w:rPr>
        <w:t xml:space="preserve">Correcting the Climatological Coefficient via Pressure Belt</w:t>
      </w:r>
    </w:p>
    <w:p>
      <w:pPr>
        <w:spacing w:after="80"/>
        <w:jc w:val="center"/>
      </w:pPr>
      <w:r>
        <w:rPr>
          <w:rFonts w:ascii="Arial" w:cs="Arial" w:eastAsia="Arial" w:hAnsi="Arial"/>
          <w:color w:val="555555"/>
          <w:sz w:val="22"/>
          <w:szCs w:val="22"/>
        </w:rPr>
        <w:t xml:space="preserve">and Marine Coastal Distance Corrections</w:t>
      </w:r>
    </w:p>
    <w:p>
      <w:pPr>
        <w:pBdr>
          <w:bottom w:val="single" w:color="1A6B3C" w:sz="6" w:space="1"/>
        </w:pBdr>
        <w:spacing w:after="600"/>
        <w:jc w:val="center"/>
      </w:pPr>
      <w:r>
        <w:rPr>
          <w:sz w:val="12"/>
          <w:szCs w:val="12"/>
        </w:rPr>
        <w:t xml:space="preserve"> </w:t>
      </w:r>
    </w:p>
    <w:p>
      <w:pPr>
        <w:spacing w:after="60"/>
        <w:jc w:val="center"/>
      </w:pPr>
      <w:r>
        <w:rPr>
          <w:rFonts w:ascii="Arial" w:cs="Arial" w:eastAsia="Arial" w:hAnsi="Arial"/>
          <w:color w:val="555555"/>
          <w:sz w:val="22"/>
          <w:szCs w:val="22"/>
        </w:rPr>
        <w:t xml:space="preserve">Domain: Product Management × Applied Physics × ML Engineering</w:t>
      </w:r>
    </w:p>
    <w:p>
      <w:pPr>
        <w:spacing w:after="60"/>
        <w:jc w:val="center"/>
      </w:pPr>
      <w:r>
        <w:rPr>
          <w:rFonts w:ascii="Arial" w:cs="Arial" w:eastAsia="Arial" w:hAnsi="Arial"/>
          <w:color w:val="555555"/>
          <w:sz w:val="22"/>
          <w:szCs w:val="22"/>
        </w:rPr>
        <w:t xml:space="preserve">Company: Google (Geo / Sustainability)</w:t>
      </w:r>
    </w:p>
    <w:p>
      <w:pPr>
        <w:spacing w:after="60"/>
        <w:jc w:val="center"/>
      </w:pPr>
      <w:r>
        <w:rPr>
          <w:rFonts w:ascii="Arial" w:cs="Arial" w:eastAsia="Arial" w:hAnsi="Arial"/>
          <w:color w:val="555555"/>
          <w:sz w:val="22"/>
          <w:szCs w:val="22"/>
        </w:rPr>
        <w:t xml:space="preserve">Date: March 2026</w:t>
      </w:r>
    </w:p>
    <w:p>
      <w:r>
        <w:r>
          <w:br w:type="page"/>
        </w:r>
      </w:r>
    </w:p>
    <w:p>
      <w:pPr>
        <w:pStyle w:val="Heading1"/>
        <w:spacing w:before="360" w:after="120"/>
      </w:pPr>
      <w:r>
        <w:rPr>
          <w:rFonts w:ascii="Arial" w:cs="Arial" w:eastAsia="Arial" w:hAnsi="Arial"/>
          <w:b/>
          <w:bCs/>
          <w:color w:val="1A6B3C"/>
          <w:sz w:val="36"/>
          <w:szCs w:val="36"/>
        </w:rPr>
        <w:t xml:space="preserve">Executive summary</w:t>
      </w:r>
    </w:p>
    <w:p>
      <w:pPr>
        <w:spacing w:after="120"/>
        <w:jc w:val="left"/>
      </w:pPr>
      <w:r>
        <w:rPr>
          <w:rFonts w:ascii="Arial" w:cs="Arial" w:eastAsia="Arial" w:hAnsi="Arial"/>
          <w:b w:val="false"/>
          <w:bCs w:val="false"/>
          <w:i w:val="false"/>
          <w:iCs w:val="false"/>
          <w:color w:val="333333"/>
          <w:sz w:val="22"/>
          <w:szCs w:val="22"/>
        </w:rPr>
        <w:t xml:space="preserve">Google’s Project Sunroof maps rooftop solar potential using satellite imagery, 3D modeling, and machine learning. Despite covering 60 million+ rooftops across the US and Germany, the product has stagnated — its data hasn’t been updated since 2018, cost estimates deviate up to 50% from market reality, and it remains limited to two countries.</w:t>
      </w:r>
    </w:p>
    <w:p>
      <w:pPr>
        <w:spacing w:after="120"/>
        <w:jc w:val="left"/>
      </w:pPr>
      <w:r>
        <w:rPr>
          <w:rFonts w:ascii="Arial" w:cs="Arial" w:eastAsia="Arial" w:hAnsi="Arial"/>
          <w:b w:val="false"/>
          <w:bCs w:val="false"/>
          <w:i w:val="false"/>
          <w:iCs w:val="false"/>
          <w:color w:val="333333"/>
          <w:sz w:val="22"/>
          <w:szCs w:val="22"/>
        </w:rPr>
        <w:t xml:space="preserve">This case study proposes a physics-grounded solution: rather than simply refreshing stale data, we correct the fundamental atmospheric model that drives energy yield predictions. The current model treats the Climatological Coefficient (Wc) — effective sunny hours — as a static regional average. This flat assumption is the root cause of the “Performance Gap” between predicted and actual solar yield.</w:t>
      </w:r>
    </w:p>
    <w:p>
      <w:pPr>
        <w:spacing w:after="120"/>
        <w:jc w:val="left"/>
      </w:pPr>
      <w:r>
        <w:rPr>
          <w:rFonts w:ascii="Arial" w:cs="Arial" w:eastAsia="Arial" w:hAnsi="Arial"/>
          <w:b w:val="false"/>
          <w:bCs w:val="false"/>
          <w:i w:val="false"/>
          <w:iCs w:val="false"/>
          <w:color w:val="333333"/>
          <w:sz w:val="22"/>
          <w:szCs w:val="22"/>
        </w:rPr>
        <w:t xml:space="preserve">We introduce two Atmospheric Correction Layers that transform Wc from a constant into a dynamic, multi-scalar parameter:</w:t>
      </w:r>
    </w:p>
    <w:p>
      <w:pPr>
        <w:spacing w:after="120"/>
      </w:pPr>
      <w:r>
        <w:rPr>
          <w:rFonts w:ascii="Arial" w:cs="Arial" w:eastAsia="Arial" w:hAnsi="Arial"/>
          <w:b/>
          <w:bCs/>
          <w:i w:val="false"/>
          <w:iCs w:val="false"/>
          <w:color w:val="333333"/>
          <w:sz w:val="22"/>
          <w:szCs w:val="22"/>
        </w:rPr>
        <w:t xml:space="preserve">Pb</w:t>
      </w:r>
      <w:r>
        <w:rPr>
          <w:rFonts w:ascii="Arial" w:cs="Arial" w:eastAsia="Arial" w:hAnsi="Arial"/>
          <w:b w:val="false"/>
          <w:bCs w:val="false"/>
          <w:i w:val="false"/>
          <w:iCs w:val="false"/>
          <w:color w:val="333333"/>
          <w:sz w:val="22"/>
          <w:szCs w:val="22"/>
        </w:rPr>
        <w:t xml:space="preserve"> (Pressure Belt Multiplier) — a macro-scale correction based on the roof’s latitudinal position within Earth’s global circulation cells. Subtropical high-pressure subduction zones (~30° N/S) physically inhibit cloud formation, yielding a Clearness Index bonus that static averages miss.</w:t>
      </w:r>
    </w:p>
    <w:p>
      <w:pPr>
        <w:spacing w:after="120"/>
      </w:pPr>
      <w:r>
        <w:rPr>
          <w:rFonts w:ascii="Arial" w:cs="Arial" w:eastAsia="Arial" w:hAnsi="Arial"/>
          <w:b/>
          <w:bCs/>
          <w:i w:val="false"/>
          <w:iCs w:val="false"/>
          <w:color w:val="333333"/>
          <w:sz w:val="22"/>
          <w:szCs w:val="22"/>
        </w:rPr>
        <w:t xml:space="preserve">Mc</w:t>
      </w:r>
      <w:r>
        <w:rPr>
          <w:rFonts w:ascii="Arial" w:cs="Arial" w:eastAsia="Arial" w:hAnsi="Arial"/>
          <w:b w:val="false"/>
          <w:bCs w:val="false"/>
          <w:i w:val="false"/>
          <w:iCs w:val="false"/>
          <w:color w:val="333333"/>
          <w:sz w:val="22"/>
          <w:szCs w:val="22"/>
        </w:rPr>
        <w:t xml:space="preserve"> (Marine Coastal Distance Correction) — a meso-scale correction using an exponential decay function to model the “Sea Breeze Cloud Gap” effect. Coastal properties (0–5 km from water) benefit from suppressed convective cloud formation during peak sun hours, while the Inland Convergence Zone (10–20 km) is penalized.</w:t>
      </w:r>
    </w:p>
    <w:p>
      <w:pPr>
        <w:spacing w:after="120"/>
        <w:jc w:val="left"/>
      </w:pPr>
      <w:r>
        <w:rPr>
          <w:rFonts w:ascii="Arial" w:cs="Arial" w:eastAsia="Arial" w:hAnsi="Arial"/>
          <w:b w:val="false"/>
          <w:bCs w:val="false"/>
          <w:i w:val="false"/>
          <w:iCs w:val="false"/>
          <w:color w:val="333333"/>
          <w:sz w:val="22"/>
          <w:szCs w:val="22"/>
        </w:rPr>
        <w:t xml:space="preserve">The resulting unified formula — E = (A · η · Isc) × [Wbase · Pb · Mc] — transforms Project Sunroof from a conceptual mapping tool into a high-fidelity financial engine capable of delivering bankable solar data.</w:t>
      </w:r>
    </w:p>
    <w:p>
      <w:r>
        <w:r>
          <w:br w:type="page"/>
        </w:r>
      </w:r>
    </w:p>
    <w:p>
      <w:pPr>
        <w:pStyle w:val="Heading1"/>
        <w:spacing w:before="360" w:after="120"/>
      </w:pPr>
      <w:r>
        <w:rPr>
          <w:rFonts w:ascii="Arial" w:cs="Arial" w:eastAsia="Arial" w:hAnsi="Arial"/>
          <w:b/>
          <w:bCs/>
          <w:color w:val="1A6B3C"/>
          <w:sz w:val="36"/>
          <w:szCs w:val="36"/>
        </w:rPr>
        <w:t xml:space="preserve">1. Problem identification: The performance gap</w:t>
      </w:r>
    </w:p>
    <w:p>
      <w:pPr>
        <w:pStyle w:val="Heading2"/>
        <w:spacing w:before="240" w:after="120"/>
      </w:pPr>
      <w:r>
        <w:rPr>
          <w:rFonts w:ascii="Arial" w:cs="Arial" w:eastAsia="Arial" w:hAnsi="Arial"/>
          <w:b/>
          <w:bCs/>
          <w:color w:val="1B3A2A"/>
          <w:sz w:val="28"/>
          <w:szCs w:val="28"/>
        </w:rPr>
        <w:t xml:space="preserve">1.1 Current state of Project Sunroof</w:t>
      </w:r>
    </w:p>
    <w:p>
      <w:pPr>
        <w:spacing w:after="120"/>
        <w:jc w:val="left"/>
      </w:pPr>
      <w:r>
        <w:rPr>
          <w:rFonts w:ascii="Arial" w:cs="Arial" w:eastAsia="Arial" w:hAnsi="Arial"/>
          <w:b w:val="false"/>
          <w:bCs w:val="false"/>
          <w:i w:val="false"/>
          <w:iCs w:val="false"/>
          <w:color w:val="333333"/>
          <w:sz w:val="22"/>
          <w:szCs w:val="22"/>
        </w:rPr>
        <w:t xml:space="preserve">Project Sunroof was launched in 2015 by Google engineer Carl Elkin. It uses Google Earth high-resolution imagery, 3D surface modeling, ML-based roof segmentation, NREL weather data, and utility rate databases to estimate solar potential. The tool covers 60M+ rooftops in the US and parts of Germany.</w:t>
      </w:r>
    </w:p>
    <w:p>
      <w:pPr>
        <w:pStyle w:val="Heading2"/>
        <w:spacing w:before="240" w:after="120"/>
      </w:pPr>
      <w:r>
        <w:rPr>
          <w:rFonts w:ascii="Arial" w:cs="Arial" w:eastAsia="Arial" w:hAnsi="Arial"/>
          <w:b/>
          <w:bCs/>
          <w:color w:val="1B3A2A"/>
          <w:sz w:val="28"/>
          <w:szCs w:val="28"/>
        </w:rPr>
        <w:t xml:space="preserve">1.2 What Project Sunroof does well</w:t>
      </w:r>
    </w:p>
    <w:p>
      <w:pPr>
        <w:spacing w:after="120"/>
        <w:jc w:val="left"/>
      </w:pPr>
      <w:r>
        <w:rPr>
          <w:rFonts w:ascii="Arial" w:cs="Arial" w:eastAsia="Arial" w:hAnsi="Arial"/>
          <w:b w:val="false"/>
          <w:bCs w:val="false"/>
          <w:i w:val="false"/>
          <w:iCs w:val="false"/>
          <w:color w:val="333333"/>
          <w:sz w:val="22"/>
          <w:szCs w:val="22"/>
        </w:rPr>
        <w:t xml:space="preserve">The geometric layer is excellent. Project Sunroof accurately computes local occlusion — shading from trees, neighboring buildings, roof angle, orientation, and tilt. This is the physical baseline: how much of the sky is visible from each square meter of roof.</w:t>
      </w:r>
    </w:p>
    <w:p>
      <w:pPr>
        <w:pStyle w:val="Heading2"/>
        <w:spacing w:before="240" w:after="120"/>
      </w:pPr>
      <w:r>
        <w:rPr>
          <w:rFonts w:ascii="Arial" w:cs="Arial" w:eastAsia="Arial" w:hAnsi="Arial"/>
          <w:b/>
          <w:bCs/>
          <w:color w:val="1B3A2A"/>
          <w:sz w:val="28"/>
          <w:szCs w:val="28"/>
        </w:rPr>
        <w:t xml:space="preserve">1.3 What it gets wrong: atmospheric transparency</w:t>
      </w:r>
    </w:p>
    <w:p>
      <w:pPr>
        <w:spacing w:after="120"/>
        <w:jc w:val="left"/>
      </w:pPr>
      <w:r>
        <w:rPr>
          <w:rFonts w:ascii="Arial" w:cs="Arial" w:eastAsia="Arial" w:hAnsi="Arial"/>
          <w:b w:val="false"/>
          <w:bCs w:val="false"/>
          <w:i w:val="false"/>
          <w:iCs w:val="false"/>
          <w:color w:val="333333"/>
          <w:sz w:val="22"/>
          <w:szCs w:val="22"/>
        </w:rPr>
        <w:t xml:space="preserve">While the geometric model is precise, the atmospheric model is crude. Project Sunroof treats atmospheric transparency as a flat historical average for each region. This means a roof in Phoenix, Arizona (deep inside a subtropical high-pressure zone with 299 sunny days/year) and a roof in coastal San Diego (where marine layer dynamics create highly variable cloud patterns) are both assigned the same regional Wc value if they fall in the same data zone.</w:t>
      </w:r>
    </w:p>
    <w:p>
      <w:pPr>
        <w:spacing w:after="120"/>
        <w:jc w:val="left"/>
      </w:pPr>
      <w:r>
        <w:rPr>
          <w:rFonts w:ascii="Arial" w:cs="Arial" w:eastAsia="Arial" w:hAnsi="Arial"/>
          <w:b w:val="false"/>
          <w:bCs w:val="false"/>
          <w:i w:val="false"/>
          <w:iCs w:val="false"/>
          <w:color w:val="333333"/>
          <w:sz w:val="22"/>
          <w:szCs w:val="22"/>
        </w:rPr>
        <w:t xml:space="preserve">This creates a systematic estimation error that compounds into significant financial miscalculation over a 20-year solar investment horizon. EcoWatch’s 2024 analysis found Project Sunroof’s cost estimates deviating by up to $10,000 (nearly 50%) from actual market prices for a Houston property.</w:t>
      </w:r>
    </w:p>
    <w:p>
      <w:pPr>
        <w:pStyle w:val="Heading2"/>
        <w:spacing w:before="240" w:after="120"/>
      </w:pPr>
      <w:r>
        <w:rPr>
          <w:rFonts w:ascii="Arial" w:cs="Arial" w:eastAsia="Arial" w:hAnsi="Arial"/>
          <w:b/>
          <w:bCs/>
          <w:color w:val="1B3A2A"/>
          <w:sz w:val="28"/>
          <w:szCs w:val="28"/>
        </w:rPr>
        <w:t xml:space="preserve">1.4 Root cause: Wc is treated as a constant</w:t>
      </w:r>
    </w:p>
    <w:p>
      <w:pPr>
        <w:spacing w:after="120"/>
        <w:jc w:val="left"/>
      </w:pPr>
      <w:r>
        <w:rPr>
          <w:rFonts w:ascii="Arial" w:cs="Arial" w:eastAsia="Arial" w:hAnsi="Arial"/>
          <w:b w:val="false"/>
          <w:bCs w:val="false"/>
          <w:i w:val="false"/>
          <w:iCs w:val="false"/>
          <w:color w:val="333333"/>
          <w:sz w:val="22"/>
          <w:szCs w:val="22"/>
        </w:rPr>
        <w:t xml:space="preserve">The Climatological Coefficient Wc represents the “Atmospheric Filter” — the number of effective sunny hours that dictates the actual volume of photons reaching a photovoltaic surface. In the standard solar energy equation:</w:t>
      </w:r>
    </w:p>
    <w:p>
      <w:pPr>
        <w:spacing w:before="200" w:after="200"/>
        <w:jc w:val="center"/>
      </w:pPr>
      <w:r>
        <w:rPr>
          <w:rFonts w:ascii="Arial" w:cs="Arial" w:eastAsia="Arial" w:hAnsi="Arial"/>
          <w:b/>
          <w:bCs/>
          <w:color w:val="1B3A2A"/>
          <w:sz w:val="24"/>
          <w:szCs w:val="24"/>
        </w:rPr>
        <w:t xml:space="preserve">E = A · η · I</w:t>
      </w:r>
      <w:r>
        <w:rPr>
          <w:rFonts w:ascii="Arial" w:cs="Arial" w:eastAsia="Arial" w:hAnsi="Arial"/>
          <w:b/>
          <w:bCs/>
          <w:color w:val="1B3A2A"/>
          <w:sz w:val="18"/>
          <w:szCs w:val="18"/>
          <w:vertAlign w:val="subscript"/>
        </w:rPr>
        <w:t xml:space="preserve">SC</w:t>
      </w:r>
      <w:r>
        <w:rPr>
          <w:rFonts w:ascii="Arial" w:cs="Arial" w:eastAsia="Arial" w:hAnsi="Arial"/>
          <w:b/>
          <w:bCs/>
          <w:color w:val="1B3A2A"/>
          <w:sz w:val="24"/>
          <w:szCs w:val="24"/>
        </w:rPr>
        <w:t xml:space="preserve"> · W</w:t>
      </w:r>
      <w:r>
        <w:rPr>
          <w:rFonts w:ascii="Arial" w:cs="Arial" w:eastAsia="Arial" w:hAnsi="Arial"/>
          <w:b/>
          <w:bCs/>
          <w:color w:val="1B3A2A"/>
          <w:sz w:val="18"/>
          <w:szCs w:val="18"/>
          <w:vertAlign w:val="subscript"/>
        </w:rPr>
        <w:t xml:space="preserve">c</w:t>
      </w:r>
    </w:p>
    <w:p>
      <w:pPr>
        <w:spacing w:after="120"/>
        <w:jc w:val="left"/>
      </w:pPr>
      <w:r>
        <w:rPr>
          <w:rFonts w:ascii="Arial" w:cs="Arial" w:eastAsia="Arial" w:hAnsi="Arial"/>
          <w:b w:val="false"/>
          <w:bCs w:val="false"/>
          <w:i w:val="false"/>
          <w:iCs w:val="false"/>
          <w:color w:val="333333"/>
          <w:sz w:val="22"/>
          <w:szCs w:val="22"/>
        </w:rPr>
        <w:t xml:space="preserve">A (panel area), η (efficiency), and Isc (solar constant) are either fixed physical constants or manufacturer specifications. Wc is the only variable that captures real-world atmospheric conditions — and it is currently the weakest link in the model.</w:t>
      </w:r>
    </w:p>
    <w:p>
      <w:r>
        <w:r>
          <w:br w:type="page"/>
        </w:r>
      </w:r>
    </w:p>
    <w:p>
      <w:pPr>
        <w:pStyle w:val="Heading1"/>
        <w:spacing w:before="360" w:after="120"/>
      </w:pPr>
      <w:r>
        <w:rPr>
          <w:rFonts w:ascii="Arial" w:cs="Arial" w:eastAsia="Arial" w:hAnsi="Arial"/>
          <w:b/>
          <w:bCs/>
          <w:color w:val="1A6B3C"/>
          <w:sz w:val="36"/>
          <w:szCs w:val="36"/>
        </w:rPr>
        <w:t xml:space="preserve">2. The solution: Two atmospheric correction layers</w:t>
      </w:r>
    </w:p>
    <w:p>
      <w:pPr>
        <w:spacing w:after="120"/>
        <w:jc w:val="left"/>
      </w:pPr>
      <w:r>
        <w:rPr>
          <w:rFonts w:ascii="Arial" w:cs="Arial" w:eastAsia="Arial" w:hAnsi="Arial"/>
          <w:b w:val="false"/>
          <w:bCs w:val="false"/>
          <w:i w:val="false"/>
          <w:iCs w:val="false"/>
          <w:color w:val="333333"/>
          <w:sz w:val="22"/>
          <w:szCs w:val="22"/>
        </w:rPr>
        <w:t xml:space="preserve">We introduce two correction multipliers that transform the static Wc into a dynamic, location-aware parameter. These corrections are grounded in well-established atmospheric physics and can be computed for any coordinate on Earth using publicly available data.</w:t>
      </w:r>
    </w:p>
    <w:p>
      <w:pPr>
        <w:pStyle w:val="Heading2"/>
        <w:spacing w:before="240" w:after="120"/>
      </w:pPr>
      <w:r>
        <w:rPr>
          <w:rFonts w:ascii="Arial" w:cs="Arial" w:eastAsia="Arial" w:hAnsi="Arial"/>
          <w:b/>
          <w:bCs/>
          <w:color w:val="1B3A2A"/>
          <w:sz w:val="28"/>
          <w:szCs w:val="28"/>
        </w:rPr>
        <w:t xml:space="preserve">2.1 Technical Component I: Pressure Belt Multiplier (Pb)</w:t>
      </w:r>
    </w:p>
    <w:p>
      <w:pPr>
        <w:spacing w:after="120"/>
      </w:pPr>
      <w:r>
        <w:rPr>
          <w:rFonts w:ascii="Arial" w:cs="Arial" w:eastAsia="Arial" w:hAnsi="Arial"/>
          <w:b/>
          <w:bCs/>
          <w:i w:val="false"/>
          <w:iCs w:val="false"/>
          <w:color w:val="333333"/>
          <w:sz w:val="22"/>
          <w:szCs w:val="22"/>
        </w:rPr>
        <w:t xml:space="preserve">Scale: </w:t>
      </w:r>
      <w:r>
        <w:rPr>
          <w:rFonts w:ascii="Arial" w:cs="Arial" w:eastAsia="Arial" w:hAnsi="Arial"/>
          <w:b w:val="false"/>
          <w:bCs w:val="false"/>
          <w:i w:val="false"/>
          <w:iCs w:val="false"/>
          <w:color w:val="333333"/>
          <w:sz w:val="22"/>
          <w:szCs w:val="22"/>
        </w:rPr>
        <w:t xml:space="preserve">Macro (Global Circulation)</w:t>
      </w:r>
    </w:p>
    <w:p>
      <w:pPr>
        <w:spacing w:after="120"/>
      </w:pPr>
      <w:r>
        <w:rPr>
          <w:rFonts w:ascii="Arial" w:cs="Arial" w:eastAsia="Arial" w:hAnsi="Arial"/>
          <w:b/>
          <w:bCs/>
          <w:i w:val="false"/>
          <w:iCs w:val="false"/>
          <w:color w:val="333333"/>
          <w:sz w:val="22"/>
          <w:szCs w:val="22"/>
        </w:rPr>
        <w:t xml:space="preserve">Physics: </w:t>
      </w:r>
      <w:r>
        <w:rPr>
          <w:rFonts w:ascii="Arial" w:cs="Arial" w:eastAsia="Arial" w:hAnsi="Arial"/>
          <w:b w:val="false"/>
          <w:bCs w:val="false"/>
          <w:i w:val="false"/>
          <w:iCs w:val="false"/>
          <w:color w:val="333333"/>
          <w:sz w:val="22"/>
          <w:szCs w:val="22"/>
        </w:rPr>
        <w:t xml:space="preserve">The Earth’s atmosphere is organized into predictable circulation cells (Hadley, Ferrel, Polar). At approximately 30° N and 30° S latitude, air descends in the subtropical high-pressure belt. This descending (subsiding) air physically inhibits vertical cloud development — clouds cannot form when air is being pushed downward.</w:t>
      </w:r>
    </w:p>
    <w:p>
      <w:pPr>
        <w:spacing w:after="120"/>
      </w:pPr>
      <w:r>
        <w:rPr>
          <w:rFonts w:ascii="Arial" w:cs="Arial" w:eastAsia="Arial" w:hAnsi="Arial"/>
          <w:b/>
          <w:bCs/>
          <w:i w:val="false"/>
          <w:iCs w:val="false"/>
          <w:color w:val="333333"/>
          <w:sz w:val="22"/>
          <w:szCs w:val="22"/>
        </w:rPr>
        <w:t xml:space="preserve">Implication: </w:t>
      </w:r>
      <w:r>
        <w:rPr>
          <w:rFonts w:ascii="Arial" w:cs="Arial" w:eastAsia="Arial" w:hAnsi="Arial"/>
          <w:b w:val="false"/>
          <w:bCs w:val="false"/>
          <w:i w:val="false"/>
          <w:iCs w:val="false"/>
          <w:color w:val="333333"/>
          <w:sz w:val="22"/>
          <w:szCs w:val="22"/>
        </w:rPr>
        <w:t xml:space="preserve">Roofs in subtropical high-pressure zones experience systematically clearer skies than regional historical averages capture. Standard models underpredict solar yield for these locations.</w:t>
      </w:r>
    </w:p>
    <w:p>
      <w:pPr>
        <w:spacing w:after="120"/>
      </w:pPr>
      <w:r>
        <w:rPr>
          <w:rFonts w:ascii="Arial" w:cs="Arial" w:eastAsia="Arial" w:hAnsi="Arial"/>
          <w:b/>
          <w:bCs/>
          <w:i w:val="false"/>
          <w:iCs w:val="false"/>
          <w:color w:val="333333"/>
          <w:sz w:val="22"/>
          <w:szCs w:val="22"/>
        </w:rPr>
        <w:t xml:space="preserve">The correction: </w:t>
      </w:r>
      <w:r>
        <w:rPr>
          <w:rFonts w:ascii="Arial" w:cs="Arial" w:eastAsia="Arial" w:hAnsi="Arial"/>
          <w:b w:val="false"/>
          <w:bCs w:val="false"/>
          <w:i w:val="false"/>
          <w:iCs w:val="false"/>
          <w:color w:val="333333"/>
          <w:sz w:val="22"/>
          <w:szCs w:val="22"/>
        </w:rPr>
        <w:t xml:space="preserve">For roofs within the subtropical high-pressure belt, we apply a Subduction Bonus:</w:t>
      </w:r>
    </w:p>
    <w:p>
      <w:pPr>
        <w:spacing w:before="160" w:after="160"/>
        <w:jc w:val="center"/>
      </w:pPr>
      <w:r>
        <w:rPr>
          <w:rFonts w:ascii="Arial" w:cs="Arial" w:eastAsia="Arial" w:hAnsi="Arial"/>
          <w:b/>
          <w:bCs/>
          <w:color w:val="1A6B3C"/>
          <w:sz w:val="26"/>
          <w:szCs w:val="26"/>
        </w:rPr>
        <w:t xml:space="preserve">P</w:t>
      </w:r>
      <w:r>
        <w:rPr>
          <w:rFonts w:ascii="Arial" w:cs="Arial" w:eastAsia="Arial" w:hAnsi="Arial"/>
          <w:b/>
          <w:bCs/>
          <w:color w:val="1A6B3C"/>
          <w:sz w:val="20"/>
          <w:szCs w:val="20"/>
          <w:vertAlign w:val="subscript"/>
        </w:rPr>
        <w:t xml:space="preserve">b</w:t>
      </w:r>
      <w:r>
        <w:rPr>
          <w:rFonts w:ascii="Arial" w:cs="Arial" w:eastAsia="Arial" w:hAnsi="Arial"/>
          <w:b/>
          <w:bCs/>
          <w:color w:val="1A6B3C"/>
          <w:sz w:val="26"/>
          <w:szCs w:val="26"/>
        </w:rPr>
        <w:t xml:space="preserve"> ≈ 1.15</w:t>
      </w:r>
    </w:p>
    <w:p>
      <w:pPr>
        <w:spacing w:after="120"/>
      </w:pPr>
      <w:r>
        <w:rPr>
          <w:rFonts w:ascii="Arial" w:cs="Arial" w:eastAsia="Arial" w:hAnsi="Arial"/>
          <w:b/>
          <w:bCs/>
          <w:i w:val="false"/>
          <w:iCs w:val="false"/>
          <w:color w:val="333333"/>
          <w:sz w:val="22"/>
          <w:szCs w:val="22"/>
        </w:rPr>
        <w:t xml:space="preserve">Why 1.15 and not higher? </w:t>
      </w:r>
      <w:r>
        <w:rPr>
          <w:rFonts w:ascii="Arial" w:cs="Arial" w:eastAsia="Arial" w:hAnsi="Arial"/>
          <w:b w:val="false"/>
          <w:bCs w:val="false"/>
          <w:i w:val="false"/>
          <w:iCs w:val="false"/>
          <w:color w:val="333333"/>
          <w:sz w:val="22"/>
          <w:szCs w:val="22"/>
        </w:rPr>
        <w:t xml:space="preserve">This value aligns with the Clearness Index (Kt) limits of Earth’s atmosphere. A 20% increase would exceed the theoretical maximum of Direct Normal Irradiance once we account for unavoidable Rayleigh scattering and Airmass attenuation. 1.15 is the conservative-yet-accurate peak for a high-pressure subduction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Latitude zone</w:t>
            </w:r>
          </w:p>
        </w:tc>
        <w:tc>
          <w:tcPr>
            <w:tcW w:type="dxa" w:w="234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Atmospheric regime</w:t>
            </w:r>
          </w:p>
        </w:tc>
        <w:tc>
          <w:tcPr>
            <w:tcW w:type="dxa" w:w="234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Cloud suppression</w:t>
            </w:r>
          </w:p>
        </w:tc>
        <w:tc>
          <w:tcPr>
            <w:tcW w:type="dxa" w:w="234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Pb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0°–15° (Equatorial)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ITCZ / Hadley ascending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(convective)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15°–25° (Transitional)</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Partial subduction</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Moderate</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1.05–1.10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25°–35° (Subtropical HP)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subduction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Strong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1.10–1.15</w:t>
            </w:r>
          </w:p>
        </w:tc>
      </w:tr>
      <w:tr>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35°–60° (Mid-latitude)</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Ferrel cell / frontal</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Variable</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0.95–1.00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 (Polar)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Polar cell / low sun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0.85–0.95</w:t>
            </w:r>
          </w:p>
        </w:tc>
      </w:tr>
    </w:tbl>
    <w:p>
      <w:pPr>
        <w:spacing w:after="200"/>
      </w:pPr>
    </w:p>
    <w:p>
      <w:pPr>
        <w:pStyle w:val="Heading2"/>
        <w:spacing w:before="240" w:after="120"/>
      </w:pPr>
      <w:r>
        <w:rPr>
          <w:rFonts w:ascii="Arial" w:cs="Arial" w:eastAsia="Arial" w:hAnsi="Arial"/>
          <w:b/>
          <w:bCs/>
          <w:color w:val="1B3A2A"/>
          <w:sz w:val="28"/>
          <w:szCs w:val="28"/>
        </w:rPr>
        <w:t xml:space="preserve">2.2 Technical Component II: Marine Coastal Distance Correction (Mc)</w:t>
      </w:r>
    </w:p>
    <w:p>
      <w:pPr>
        <w:spacing w:after="120"/>
      </w:pPr>
      <w:r>
        <w:rPr>
          <w:rFonts w:ascii="Arial" w:cs="Arial" w:eastAsia="Arial" w:hAnsi="Arial"/>
          <w:b/>
          <w:bCs/>
          <w:i w:val="false"/>
          <w:iCs w:val="false"/>
          <w:color w:val="333333"/>
          <w:sz w:val="22"/>
          <w:szCs w:val="22"/>
        </w:rPr>
        <w:t xml:space="preserve">Scale: </w:t>
      </w:r>
      <w:r>
        <w:rPr>
          <w:rFonts w:ascii="Arial" w:cs="Arial" w:eastAsia="Arial" w:hAnsi="Arial"/>
          <w:b w:val="false"/>
          <w:bCs w:val="false"/>
          <w:i w:val="false"/>
          <w:iCs w:val="false"/>
          <w:color w:val="333333"/>
          <w:sz w:val="22"/>
          <w:szCs w:val="22"/>
        </w:rPr>
        <w:t xml:space="preserve">Meso (Coastal Microclimate)</w:t>
      </w:r>
    </w:p>
    <w:p>
      <w:pPr>
        <w:spacing w:after="120"/>
      </w:pPr>
      <w:r>
        <w:rPr>
          <w:rFonts w:ascii="Arial" w:cs="Arial" w:eastAsia="Arial" w:hAnsi="Arial"/>
          <w:b/>
          <w:bCs/>
          <w:i w:val="false"/>
          <w:iCs w:val="false"/>
          <w:color w:val="333333"/>
          <w:sz w:val="22"/>
          <w:szCs w:val="22"/>
        </w:rPr>
        <w:t xml:space="preserve">Physics: </w:t>
      </w:r>
      <w:r>
        <w:rPr>
          <w:rFonts w:ascii="Arial" w:cs="Arial" w:eastAsia="Arial" w:hAnsi="Arial"/>
          <w:b w:val="false"/>
          <w:bCs w:val="false"/>
          <w:i w:val="false"/>
          <w:iCs w:val="false"/>
          <w:color w:val="333333"/>
          <w:sz w:val="22"/>
          <w:szCs w:val="22"/>
        </w:rPr>
        <w:t xml:space="preserve">Large water bodies create a thermal buffer. During daytime, land heats faster than water, generating an onshore “sea breeze.” Within 0–5 km of the coastline, the stable marine air mass suppresses convective cloud formation during peak solar hours. This creates a “Cloud Gap” — a corridor of clearer sky directly over coastal properties.</w:t>
      </w:r>
    </w:p>
    <w:p>
      <w:pPr>
        <w:spacing w:after="120"/>
      </w:pPr>
      <w:r>
        <w:rPr>
          <w:rFonts w:ascii="Arial" w:cs="Arial" w:eastAsia="Arial" w:hAnsi="Arial"/>
          <w:b/>
          <w:bCs/>
          <w:i w:val="false"/>
          <w:iCs w:val="false"/>
          <w:color w:val="333333"/>
          <w:sz w:val="22"/>
          <w:szCs w:val="22"/>
        </w:rPr>
        <w:t xml:space="preserve">The paradox: </w:t>
      </w:r>
      <w:r>
        <w:rPr>
          <w:rFonts w:ascii="Arial" w:cs="Arial" w:eastAsia="Arial" w:hAnsi="Arial"/>
          <w:b w:val="false"/>
          <w:bCs w:val="false"/>
          <w:i w:val="false"/>
          <w:iCs w:val="false"/>
          <w:color w:val="333333"/>
          <w:sz w:val="22"/>
          <w:szCs w:val="22"/>
        </w:rPr>
        <w:t xml:space="preserve">At 10–20 km inland, the sea breeze front collides with heated inland air, triggering an “Inland Convergence Zone” where cumulus cloud formation is actually enhanced. Properties in this zone receive less solar radiation than the regional average suggests.</w:t>
      </w:r>
    </w:p>
    <w:p>
      <w:pPr>
        <w:spacing w:after="120"/>
      </w:pPr>
      <w:r>
        <w:rPr>
          <w:rFonts w:ascii="Arial" w:cs="Arial" w:eastAsia="Arial" w:hAnsi="Arial"/>
          <w:b/>
          <w:bCs/>
          <w:i w:val="false"/>
          <w:iCs w:val="false"/>
          <w:color w:val="333333"/>
          <w:sz w:val="22"/>
          <w:szCs w:val="22"/>
        </w:rPr>
        <w:t xml:space="preserve">The mathematical correction: </w:t>
      </w:r>
      <w:r>
        <w:rPr>
          <w:rFonts w:ascii="Arial" w:cs="Arial" w:eastAsia="Arial" w:hAnsi="Arial"/>
          <w:b w:val="false"/>
          <w:bCs w:val="false"/>
          <w:i w:val="false"/>
          <w:iCs w:val="false"/>
          <w:color w:val="333333"/>
          <w:sz w:val="22"/>
          <w:szCs w:val="22"/>
        </w:rPr>
        <w:t xml:space="preserve">We model this using an exponential decay function:</w:t>
      </w:r>
    </w:p>
    <w:p>
      <w:pPr>
        <w:spacing w:before="160" w:after="160"/>
        <w:jc w:val="center"/>
      </w:pPr>
      <w:r>
        <w:rPr>
          <w:rFonts w:ascii="Arial" w:cs="Arial" w:eastAsia="Arial" w:hAnsi="Arial"/>
          <w:b/>
          <w:bCs/>
          <w:color w:val="1A6B3C"/>
          <w:sz w:val="26"/>
          <w:szCs w:val="26"/>
        </w:rPr>
        <w:t xml:space="preserve">M</w:t>
      </w:r>
      <w:r>
        <w:rPr>
          <w:rFonts w:ascii="Arial" w:cs="Arial" w:eastAsia="Arial" w:hAnsi="Arial"/>
          <w:b/>
          <w:bCs/>
          <w:color w:val="1A6B3C"/>
          <w:sz w:val="20"/>
          <w:szCs w:val="20"/>
          <w:vertAlign w:val="subscript"/>
        </w:rPr>
        <w:t xml:space="preserve">c</w:t>
      </w:r>
      <w:r>
        <w:rPr>
          <w:rFonts w:ascii="Arial" w:cs="Arial" w:eastAsia="Arial" w:hAnsi="Arial"/>
          <w:b/>
          <w:bCs/>
          <w:color w:val="1A6B3C"/>
          <w:sz w:val="26"/>
          <w:szCs w:val="26"/>
        </w:rPr>
        <w:t xml:space="preserve"> = α · e</w:t>
      </w:r>
      <w:r>
        <w:rPr>
          <w:rFonts w:ascii="Arial" w:cs="Arial" w:eastAsia="Arial" w:hAnsi="Arial"/>
          <w:b/>
          <w:bCs/>
          <w:color w:val="1A6B3C"/>
          <w:sz w:val="18"/>
          <w:szCs w:val="18"/>
          <w:vertAlign w:val="superscript"/>
        </w:rPr>
        <w:t xml:space="preserve">−D/λ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702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α</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Maximum coastal bonus coefficient (calibrated per region, typically 1.05–1.12)</w:t>
            </w:r>
          </w:p>
        </w:tc>
      </w:tr>
      <w:tr>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bCs/>
                <w:color w:val="333333"/>
                <w:sz w:val="20"/>
                <w:szCs w:val="20"/>
              </w:rPr>
              <w:t xml:space="preserve">D</w:t>
            </w:r>
          </w:p>
        </w:tc>
        <w:tc>
          <w:tcPr>
            <w:tcW w:type="dxa" w:w="702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Distance from nearest coastline (km)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λ</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Decay constant (km) — rate at which the marine effect attenuates with distance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Distance from coast</w:t>
            </w:r>
          </w:p>
        </w:tc>
        <w:tc>
          <w:tcPr>
            <w:tcW w:type="dxa" w:w="234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Atmospheric effect</w:t>
            </w:r>
          </w:p>
        </w:tc>
        <w:tc>
          <w:tcPr>
            <w:tcW w:type="dxa" w:w="234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Cloud impact</w:t>
            </w:r>
          </w:p>
        </w:tc>
        <w:tc>
          <w:tcPr>
            <w:tcW w:type="dxa" w:w="234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Mc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 km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 breeze cloud gap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Suppressed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1.05–1.12</w:t>
            </w:r>
          </w:p>
        </w:tc>
      </w:tr>
      <w:tr>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5–10 km</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Transitional</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Neutral</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10–20 km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Inland convergence zone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Enhanced formation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0.92–0.98</w:t>
            </w:r>
          </w:p>
        </w:tc>
      </w:tr>
      <w:tr>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20+ km</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No marine influence</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Regional baseline</w:t>
            </w:r>
          </w:p>
        </w:tc>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bl>
    <w:p>
      <w:r>
        <w:r>
          <w:br w:type="page"/>
        </w:r>
      </w:r>
    </w:p>
    <w:p>
      <w:pPr>
        <w:pStyle w:val="Heading1"/>
        <w:spacing w:before="360" w:after="120"/>
      </w:pPr>
      <w:r>
        <w:rPr>
          <w:rFonts w:ascii="Arial" w:cs="Arial" w:eastAsia="Arial" w:hAnsi="Arial"/>
          <w:b/>
          <w:bCs/>
          <w:color w:val="1A6B3C"/>
          <w:sz w:val="36"/>
          <w:szCs w:val="36"/>
        </w:rPr>
        <w:t xml:space="preserve">3. The unified empirical formula</w:t>
      </w:r>
    </w:p>
    <w:p>
      <w:pPr>
        <w:spacing w:after="120"/>
        <w:jc w:val="left"/>
      </w:pPr>
      <w:r>
        <w:rPr>
          <w:rFonts w:ascii="Arial" w:cs="Arial" w:eastAsia="Arial" w:hAnsi="Arial"/>
          <w:b w:val="false"/>
          <w:bCs w:val="false"/>
          <w:i w:val="false"/>
          <w:iCs w:val="false"/>
          <w:color w:val="333333"/>
          <w:sz w:val="22"/>
          <w:szCs w:val="22"/>
        </w:rPr>
        <w:t xml:space="preserve">By merging both correction layers, we redefine the Energy Yield calculation:</w:t>
      </w:r>
    </w:p>
    <w:p>
      <w:pPr>
        <w:spacing w:before="240" w:after="240"/>
        <w:jc w:val="center"/>
      </w:pPr>
      <w:r>
        <w:rPr>
          <w:rFonts w:ascii="Arial" w:cs="Arial" w:eastAsia="Arial" w:hAnsi="Arial"/>
          <w:b/>
          <w:bCs/>
          <w:color w:val="1A6B3C"/>
          <w:sz w:val="28"/>
          <w:szCs w:val="28"/>
        </w:rPr>
        <w:t xml:space="preserve">E = ( A · η · I</w:t>
      </w:r>
      <w:r>
        <w:rPr>
          <w:rFonts w:ascii="Arial" w:cs="Arial" w:eastAsia="Arial" w:hAnsi="Arial"/>
          <w:b/>
          <w:bCs/>
          <w:color w:val="1A6B3C"/>
          <w:sz w:val="20"/>
          <w:szCs w:val="20"/>
          <w:vertAlign w:val="subscript"/>
        </w:rPr>
        <w:t xml:space="preserve">SC</w:t>
      </w:r>
      <w:r>
        <w:rPr>
          <w:rFonts w:ascii="Arial" w:cs="Arial" w:eastAsia="Arial" w:hAnsi="Arial"/>
          <w:b/>
          <w:bCs/>
          <w:color w:val="1A6B3C"/>
          <w:sz w:val="28"/>
          <w:szCs w:val="28"/>
        </w:rPr>
        <w:t xml:space="preserve"> ) × [ W</w:t>
      </w:r>
      <w:r>
        <w:rPr>
          <w:rFonts w:ascii="Arial" w:cs="Arial" w:eastAsia="Arial" w:hAnsi="Arial"/>
          <w:b/>
          <w:bCs/>
          <w:color w:val="1A6B3C"/>
          <w:sz w:val="20"/>
          <w:szCs w:val="20"/>
          <w:vertAlign w:val="subscript"/>
        </w:rPr>
        <w:t xml:space="preserve">base</w:t>
      </w:r>
      <w:r>
        <w:rPr>
          <w:rFonts w:ascii="Arial" w:cs="Arial" w:eastAsia="Arial" w:hAnsi="Arial"/>
          <w:b/>
          <w:bCs/>
          <w:color w:val="1A6B3C"/>
          <w:sz w:val="28"/>
          <w:szCs w:val="28"/>
        </w:rPr>
        <w:t xml:space="preserve"> · P</w:t>
      </w:r>
      <w:r>
        <w:rPr>
          <w:rFonts w:ascii="Arial" w:cs="Arial" w:eastAsia="Arial" w:hAnsi="Arial"/>
          <w:b/>
          <w:bCs/>
          <w:color w:val="1A6B3C"/>
          <w:sz w:val="20"/>
          <w:szCs w:val="20"/>
          <w:vertAlign w:val="subscript"/>
        </w:rPr>
        <w:t xml:space="preserve">b</w:t>
      </w:r>
      <w:r>
        <w:rPr>
          <w:rFonts w:ascii="Arial" w:cs="Arial" w:eastAsia="Arial" w:hAnsi="Arial"/>
          <w:b/>
          <w:bCs/>
          <w:color w:val="1A6B3C"/>
          <w:sz w:val="28"/>
          <w:szCs w:val="28"/>
        </w:rPr>
        <w:t xml:space="preserve"> · M</w:t>
      </w:r>
      <w:r>
        <w:rPr>
          <w:rFonts w:ascii="Arial" w:cs="Arial" w:eastAsia="Arial" w:hAnsi="Arial"/>
          <w:b/>
          <w:bCs/>
          <w:color w:val="1A6B3C"/>
          <w:sz w:val="20"/>
          <w:szCs w:val="20"/>
          <w:vertAlign w:val="subscript"/>
        </w:rPr>
        <w:t xml:space="preserve">c</w:t>
      </w:r>
      <w:r>
        <w:rPr>
          <w:rFonts w:ascii="Arial" w:cs="Arial" w:eastAsia="Arial" w:hAnsi="Arial"/>
          <w:b/>
          <w:bCs/>
          <w:color w:val="1A6B3C"/>
          <w:sz w:val="28"/>
          <w:szCs w:val="2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 · η · Isc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Physical Baseline — panel area, efficiency, and solar constant. Fixed or manufacturer-specified.</w:t>
            </w:r>
          </w:p>
        </w:tc>
      </w:tr>
      <w:tr>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bCs/>
                <w:color w:val="333333"/>
                <w:sz w:val="20"/>
                <w:szCs w:val="20"/>
              </w:rPr>
              <w:t xml:space="preserve">Wbase</w:t>
            </w:r>
          </w:p>
        </w:tc>
        <w:tc>
          <w:tcPr>
            <w:tcW w:type="dxa" w:w="702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Regional Historical Average of effective sunny hours. This is what Project Sunroof currently uses as its sole atmospheric input.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Pressure Belt Multiplier (Macro-Correction). Accounts for global circulation cell position and its effect on cloud suppression. Range: 0.85–1.15.</w:t>
            </w:r>
          </w:p>
        </w:tc>
      </w:tr>
      <w:tr>
        <w:tc>
          <w:tcPr>
            <w:tcW w:type="dxa" w:w="234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bCs/>
                <w:color w:val="333333"/>
                <w:sz w:val="20"/>
                <w:szCs w:val="20"/>
              </w:rPr>
              <w:t xml:space="preserve">Mc</w:t>
            </w:r>
          </w:p>
        </w:tc>
        <w:tc>
          <w:tcPr>
            <w:tcW w:type="dxa" w:w="702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Marine Correction (Meso-Correction). Accounts for coastal proximity and sea breeze cloud gap dynamics. Modeled as exponential decay: α·e^(−D/λ). Range: 0.92–1.12.</w:t>
            </w:r>
          </w:p>
        </w:tc>
      </w:tr>
    </w:tbl>
    <w:p>
      <w:pPr>
        <w:spacing w:after="200"/>
      </w:pPr>
    </w:p>
    <w:p>
      <w:pPr>
        <w:spacing w:after="120"/>
      </w:pPr>
      <w:r>
        <w:rPr>
          <w:rFonts w:ascii="Arial" w:cs="Arial" w:eastAsia="Arial" w:hAnsi="Arial"/>
          <w:b/>
          <w:bCs/>
          <w:i w:val="false"/>
          <w:iCs w:val="false"/>
          <w:color w:val="333333"/>
          <w:sz w:val="22"/>
          <w:szCs w:val="22"/>
        </w:rPr>
        <w:t xml:space="preserve">Key insight: </w:t>
      </w:r>
      <w:r>
        <w:rPr>
          <w:rFonts w:ascii="Arial" w:cs="Arial" w:eastAsia="Arial" w:hAnsi="Arial"/>
          <w:b w:val="false"/>
          <w:bCs w:val="false"/>
          <w:i w:val="false"/>
          <w:iCs w:val="false"/>
          <w:color w:val="333333"/>
          <w:sz w:val="22"/>
          <w:szCs w:val="22"/>
        </w:rPr>
        <w:t xml:space="preserve">The corrected Wc = Wbase · Pb · Mc acts as a “digital twin” of the atmosphere sitting above the roof. It captures both the macro-scale planetary dynamics and the meso-scale coastal microclimate effects that flat regional averages completely miss.</w:t>
      </w:r>
    </w:p>
    <w:p>
      <w:pPr>
        <w:pStyle w:val="Heading1"/>
        <w:spacing w:before="360" w:after="120"/>
      </w:pPr>
      <w:r>
        <w:rPr>
          <w:rFonts w:ascii="Arial" w:cs="Arial" w:eastAsia="Arial" w:hAnsi="Arial"/>
          <w:b/>
          <w:bCs/>
          <w:color w:val="1A6B3C"/>
          <w:sz w:val="36"/>
          <w:szCs w:val="36"/>
        </w:rPr>
        <w:t xml:space="preserve">4. Worked example: Phoenix vs. San Diego vs. Inland Riverside</w:t>
      </w:r>
    </w:p>
    <w:p>
      <w:pPr>
        <w:spacing w:after="120"/>
        <w:jc w:val="left"/>
      </w:pPr>
      <w:r>
        <w:rPr>
          <w:rFonts w:ascii="Arial" w:cs="Arial" w:eastAsia="Arial" w:hAnsi="Arial"/>
          <w:b w:val="false"/>
          <w:bCs w:val="false"/>
          <w:i w:val="false"/>
          <w:iCs w:val="false"/>
          <w:color w:val="333333"/>
          <w:sz w:val="22"/>
          <w:szCs w:val="22"/>
        </w:rPr>
        <w:t xml:space="preserve">To illustrate the impact, consider three properties with identical panels (A = 25 m², η = 20%, Isc = 1.0 kW/m²) but different atmospheric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170"/>
        <w:gridCol w:w="1170"/>
        <w:gridCol w:w="1170"/>
        <w:gridCol w:w="1170"/>
      </w:tblGrid>
      <w:tr>
        <w:trPr>
          <w:tblHeader/>
        </w:trPr>
        <w:tc>
          <w:tcPr>
            <w:tcW w:type="dxa" w:w="156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56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Latitude</w:t>
            </w:r>
          </w:p>
        </w:tc>
        <w:tc>
          <w:tcPr>
            <w:tcW w:type="dxa" w:w="156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Coast dist.</w:t>
            </w:r>
          </w:p>
        </w:tc>
        <w:tc>
          <w:tcPr>
            <w:tcW w:type="dxa" w:w="117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Wbase</w:t>
            </w:r>
          </w:p>
        </w:tc>
        <w:tc>
          <w:tcPr>
            <w:tcW w:type="dxa" w:w="117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Pb</w:t>
            </w:r>
          </w:p>
        </w:tc>
        <w:tc>
          <w:tcPr>
            <w:tcW w:type="dxa" w:w="117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Mc</w:t>
            </w:r>
          </w:p>
        </w:tc>
        <w:tc>
          <w:tcPr>
            <w:tcW w:type="dxa" w:w="1170"/>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Weff</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Phoenix, AZ</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33.4°N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 km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6.5 hrs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7.35 hrs</w:t>
            </w:r>
          </w:p>
        </w:tc>
      </w:tr>
      <w:tr>
        <w:tc>
          <w:tcPr>
            <w:tcW w:type="dxa" w:w="156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bCs/>
                <w:color w:val="333333"/>
                <w:sz w:val="20"/>
                <w:szCs w:val="20"/>
              </w:rPr>
              <w:t xml:space="preserve">San Diego, CA</w:t>
            </w:r>
          </w:p>
        </w:tc>
        <w:tc>
          <w:tcPr>
            <w:tcW w:type="dxa" w:w="156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32.7°N</w:t>
            </w:r>
          </w:p>
        </w:tc>
        <w:tc>
          <w:tcPr>
            <w:tcW w:type="dxa" w:w="156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~3 km</w:t>
            </w:r>
          </w:p>
        </w:tc>
        <w:tc>
          <w:tcPr>
            <w:tcW w:type="dxa" w:w="117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5.8 hrs</w:t>
            </w:r>
          </w:p>
        </w:tc>
        <w:tc>
          <w:tcPr>
            <w:tcW w:type="dxa" w:w="117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1.12</w:t>
            </w:r>
          </w:p>
        </w:tc>
        <w:tc>
          <w:tcPr>
            <w:tcW w:type="dxa" w:w="117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1.08</w:t>
            </w:r>
          </w:p>
        </w:tc>
        <w:tc>
          <w:tcPr>
            <w:tcW w:type="dxa" w:w="1170"/>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bCs/>
                <w:color w:val="333333"/>
                <w:sz w:val="20"/>
                <w:szCs w:val="20"/>
              </w:rPr>
              <w:t xml:space="preserve">7.01 hrs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Riverside, CA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33.9°N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 km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 hrs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0.96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6.51 hrs</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Phoenix benefits from full pressure belt correction (deep subtropical HP) with no marine effect (far inland). San Diego gets both corrections stacking positively — subtropical latitude plus coastal cloud gap. Riverside, despite similar latitude, is penalized by the Inland Convergence Zone where the sea breeze front triggers enhanced cloud formation.</w:t>
      </w:r>
    </w:p>
    <w:p>
      <w:pPr>
        <w:spacing w:after="120"/>
        <w:jc w:val="left"/>
      </w:pPr>
      <w:r>
        <w:rPr>
          <w:rFonts w:ascii="Arial" w:cs="Arial" w:eastAsia="Arial" w:hAnsi="Arial"/>
          <w:b w:val="false"/>
          <w:bCs w:val="false"/>
          <w:i w:val="false"/>
          <w:iCs w:val="false"/>
          <w:color w:val="333333"/>
          <w:sz w:val="22"/>
          <w:szCs w:val="22"/>
        </w:rPr>
        <w:t xml:space="preserve">Using the standard model (Wbase only), Phoenix and Riverside would appear nearly identical. The corrected model reveals Riverside delivers 11% less effective solar hours — a difference that compounds to thousands of dollars over a 20-year investment horizon.</w:t>
      </w:r>
    </w:p>
    <w:p>
      <w:r>
        <w:r>
          <w:br w:type="page"/>
        </w:r>
      </w:r>
    </w:p>
    <w:p>
      <w:pPr>
        <w:pStyle w:val="Heading1"/>
        <w:spacing w:before="360" w:after="120"/>
      </w:pPr>
      <w:r>
        <w:rPr>
          <w:rFonts w:ascii="Arial" w:cs="Arial" w:eastAsia="Arial" w:hAnsi="Arial"/>
          <w:b/>
          <w:bCs/>
          <w:color w:val="1A6B3C"/>
          <w:sz w:val="36"/>
          <w:szCs w:val="36"/>
        </w:rPr>
        <w:t xml:space="preserve">5. Strategic value for Google</w:t>
      </w:r>
    </w:p>
    <w:p>
      <w:pPr>
        <w:pStyle w:val="Heading2"/>
        <w:spacing w:before="240" w:after="120"/>
      </w:pPr>
      <w:r>
        <w:rPr>
          <w:rFonts w:ascii="Arial" w:cs="Arial" w:eastAsia="Arial" w:hAnsi="Arial"/>
          <w:b/>
          <w:bCs/>
          <w:color w:val="1B3A2A"/>
          <w:sz w:val="28"/>
          <w:szCs w:val="28"/>
        </w:rPr>
        <w:t xml:space="preserve">5.1 From mapping tool to financial engine</w:t>
      </w:r>
    </w:p>
    <w:p>
      <w:pPr>
        <w:spacing w:after="120"/>
        <w:jc w:val="left"/>
      </w:pPr>
      <w:r>
        <w:rPr>
          <w:rFonts w:ascii="Arial" w:cs="Arial" w:eastAsia="Arial" w:hAnsi="Arial"/>
          <w:b w:val="false"/>
          <w:bCs w:val="false"/>
          <w:i w:val="false"/>
          <w:iCs w:val="false"/>
          <w:color w:val="333333"/>
          <w:sz w:val="22"/>
          <w:szCs w:val="22"/>
        </w:rPr>
        <w:t xml:space="preserve">The current Project Sunroof generates interest but cannot close decisions. Homeowners see an estimate, then go to a solar installer for the “real” quote. The corrected Wc model produces estimates accurate enough to be considered “bankable” — meaning financial institutions and insurers could use them to underwrite solar loans without requiring independent site surveys.</w:t>
      </w:r>
    </w:p>
    <w:p>
      <w:pPr>
        <w:pStyle w:val="Heading2"/>
        <w:spacing w:before="240" w:after="120"/>
      </w:pPr>
      <w:r>
        <w:rPr>
          <w:rFonts w:ascii="Arial" w:cs="Arial" w:eastAsia="Arial" w:hAnsi="Arial"/>
          <w:b/>
          <w:bCs/>
          <w:color w:val="1B3A2A"/>
          <w:sz w:val="28"/>
          <w:szCs w:val="28"/>
        </w:rPr>
        <w:t xml:space="preserve">5.2 Global scalability</w:t>
      </w:r>
    </w:p>
    <w:p>
      <w:pPr>
        <w:spacing w:after="120"/>
        <w:jc w:val="left"/>
      </w:pPr>
      <w:r>
        <w:rPr>
          <w:rFonts w:ascii="Arial" w:cs="Arial" w:eastAsia="Arial" w:hAnsi="Arial"/>
          <w:b w:val="false"/>
          <w:bCs w:val="false"/>
          <w:i w:val="false"/>
          <w:iCs w:val="false"/>
          <w:color w:val="333333"/>
          <w:sz w:val="22"/>
          <w:szCs w:val="22"/>
        </w:rPr>
        <w:t xml:space="preserve">Both corrections are computed from latitude coordinates and coastline distance — data available for every point on Earth. This means the improved model can be deployed globally without requiring region-specific training data or local weather station partnerships. Any location where Google Earth has satellite imagery becomes immediately addressable.</w:t>
      </w:r>
    </w:p>
    <w:p>
      <w:pPr>
        <w:pStyle w:val="Heading2"/>
        <w:spacing w:before="240" w:after="120"/>
      </w:pPr>
      <w:r>
        <w:rPr>
          <w:rFonts w:ascii="Arial" w:cs="Arial" w:eastAsia="Arial" w:hAnsi="Arial"/>
          <w:b/>
          <w:bCs/>
          <w:color w:val="1B3A2A"/>
          <w:sz w:val="28"/>
          <w:szCs w:val="28"/>
        </w:rPr>
        <w:t xml:space="preserve">5.3 Integration with Google’s ecosystem</w:t>
      </w:r>
    </w:p>
    <w:p>
      <w:pPr>
        <w:spacing w:after="120"/>
        <w:jc w:val="left"/>
      </w:pPr>
      <w:r>
        <w:rPr>
          <w:rFonts w:ascii="Arial" w:cs="Arial" w:eastAsia="Arial" w:hAnsi="Arial"/>
          <w:b w:val="false"/>
          <w:bCs w:val="false"/>
          <w:i w:val="false"/>
          <w:iCs w:val="false"/>
          <w:color w:val="333333"/>
          <w:sz w:val="22"/>
          <w:szCs w:val="22"/>
        </w:rPr>
        <w:t xml:space="preserve">The corrected Wc feeds naturally into Google’s Environmental Insights Explorer (EIE), which already uses Project Sunroof data to help cities measure carbon footprints. Higher-fidelity solar estimates enable better city-level decarbonization planning, strengthening Google’s position in the municipal sustainability market.</w:t>
      </w:r>
    </w:p>
    <w:p>
      <w:pPr>
        <w:pStyle w:val="Heading2"/>
        <w:spacing w:before="240" w:after="120"/>
      </w:pPr>
      <w:r>
        <w:rPr>
          <w:rFonts w:ascii="Arial" w:cs="Arial" w:eastAsia="Arial" w:hAnsi="Arial"/>
          <w:b/>
          <w:bCs/>
          <w:color w:val="1B3A2A"/>
          <w:sz w:val="28"/>
          <w:szCs w:val="28"/>
        </w:rPr>
        <w:t xml:space="preserve">5.4 Competitive moat</w:t>
      </w:r>
    </w:p>
    <w:p>
      <w:pPr>
        <w:spacing w:after="120"/>
        <w:jc w:val="left"/>
      </w:pPr>
      <w:r>
        <w:rPr>
          <w:rFonts w:ascii="Arial" w:cs="Arial" w:eastAsia="Arial" w:hAnsi="Arial"/>
          <w:b w:val="false"/>
          <w:bCs w:val="false"/>
          <w:i w:val="false"/>
          <w:iCs w:val="false"/>
          <w:color w:val="333333"/>
          <w:sz w:val="22"/>
          <w:szCs w:val="22"/>
        </w:rPr>
        <w:t xml:space="preserve">No competing solar calculator (EnergySage, SolarReviews, Aurora Solar) applies atmospheric physics corrections at this level. They rely on the same NREL flat averages. By embedding Pb and Mc corrections, Google creates a defensible technical moat that competitors cannot replicate without building equivalent atmospheric modeling infrastructure.</w:t>
      </w:r>
    </w:p>
    <w:p>
      <w:r>
        <w:r>
          <w:br w:type="page"/>
        </w:r>
      </w:r>
    </w:p>
    <w:p>
      <w:pPr>
        <w:pStyle w:val="Heading1"/>
        <w:spacing w:before="360" w:after="120"/>
      </w:pPr>
      <w:r>
        <w:rPr>
          <w:rFonts w:ascii="Arial" w:cs="Arial" w:eastAsia="Arial" w:hAnsi="Arial"/>
          <w:b/>
          <w:bCs/>
          <w:color w:val="1A6B3C"/>
          <w:sz w:val="36"/>
          <w:szCs w:val="36"/>
        </w:rPr>
        <w:t xml:space="preserve">6.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744"/>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44"/>
            <w:tcBorders>
              <w:top w:val="single" w:color="CCCCCC" w:sz="1"/>
              <w:left w:val="single" w:color="CCCCCC" w:sz="1"/>
              <w:bottom w:val="single" w:color="CCCCCC" w:sz="1"/>
              <w:right w:val="single" w:color="CCCCCC" w:sz="1"/>
            </w:tcBorders>
            <w:shd w:fill="1B3A2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Over-correction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Pb = 1.15 may over-estimate in edge cases at boundaries of pressure belt zones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a latitude-continuous sigmoid function rather than discrete zones. Validate against ground-truth pyranometer data from NREL stations.</w:t>
            </w:r>
          </w:p>
        </w:tc>
      </w:tr>
      <w:tr>
        <w:tc>
          <w:tcPr>
            <w:tcW w:type="dxa" w:w="1872"/>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bCs/>
                <w:color w:val="333333"/>
                <w:sz w:val="20"/>
                <w:szCs w:val="20"/>
              </w:rPr>
              <w:t xml:space="preserve">Mc calibration</w:t>
            </w:r>
          </w:p>
        </w:tc>
        <w:tc>
          <w:tcPr>
            <w:tcW w:type="dxa" w:w="3744"/>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Exponential decay parameters (α, λ) vary by coastline type (gulf vs. open ocean vs. large lake)</w:t>
            </w:r>
          </w:p>
        </w:tc>
        <w:tc>
          <w:tcPr>
            <w:tcW w:type="dxa" w:w="3744"/>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 region-specific α and λ values using satellite-derived cloud frequency maps. Start with well-instrumented US coastlines, expand incrementally.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Seasonal variance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Pressure belt positions shift seasonally with ITCZ migration (±5° latitude)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Apply monthly Pb values rather than annual constants. Use ERA5 reanalysis data for seasonal pressure climatology.</w:t>
            </w:r>
          </w:p>
        </w:tc>
      </w:tr>
      <w:tr>
        <w:tc>
          <w:tcPr>
            <w:tcW w:type="dxa" w:w="1872"/>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bCs/>
                <w:color w:val="333333"/>
                <w:sz w:val="20"/>
                <w:szCs w:val="20"/>
              </w:rPr>
              <w:t xml:space="preserve">User trust</w:t>
            </w:r>
          </w:p>
        </w:tc>
        <w:tc>
          <w:tcPr>
            <w:tcW w:type="dxa" w:w="3744"/>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If corrected estimates differ significantly from existing Project Sunroof values, users may distrust the tool</w:t>
            </w:r>
          </w:p>
        </w:tc>
        <w:tc>
          <w:tcPr>
            <w:tcW w:type="dxa" w:w="3744"/>
            <w:tcBorders>
              <w:top w:val="single" w:color="CCCCCC" w:sz="1"/>
              <w:left w:val="single" w:color="CCCCCC" w:sz="1"/>
              <w:bottom w:val="single" w:color="CCCCCC" w:sz="1"/>
              <w:right w:val="single" w:color="CCCCCC" w:sz="1"/>
            </w:tcBorders>
            <w:shd w:fill="F0F8F2"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both standard and corrected estimates with an explainer. Transparency builds credibility.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 freshness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Project Sunroof data (costs, incentives) still stale since 2018</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Atmospheric corrections are independent of financial data. Phase 1 corrects Wc; Phase 2 refreshes cost/incentive databases as a separate workstream.</w:t>
            </w:r>
          </w:p>
        </w:tc>
      </w:tr>
    </w:tbl>
    <w:p>
      <w:r>
        <w:r>
          <w:br w:type="page"/>
        </w:r>
      </w:r>
    </w:p>
    <w:p>
      <w:pPr>
        <w:pStyle w:val="Heading1"/>
        <w:spacing w:before="360" w:after="120"/>
      </w:pPr>
      <w:r>
        <w:rPr>
          <w:rFonts w:ascii="Arial" w:cs="Arial" w:eastAsia="Arial" w:hAnsi="Arial"/>
          <w:b/>
          <w:bCs/>
          <w:color w:val="1A6B3C"/>
          <w:sz w:val="36"/>
          <w:szCs w:val="36"/>
        </w:rPr>
        <w:t xml:space="preserve">7. Conclusion</w:t>
      </w:r>
    </w:p>
    <w:p>
      <w:pPr>
        <w:spacing w:after="120"/>
        <w:jc w:val="left"/>
      </w:pPr>
      <w:r>
        <w:rPr>
          <w:rFonts w:ascii="Arial" w:cs="Arial" w:eastAsia="Arial" w:hAnsi="Arial"/>
          <w:b w:val="false"/>
          <w:bCs w:val="false"/>
          <w:i w:val="false"/>
          <w:iCs w:val="false"/>
          <w:color w:val="333333"/>
          <w:sz w:val="22"/>
          <w:szCs w:val="22"/>
        </w:rPr>
        <w:t xml:space="preserve">Project Sunroof’s geometric model is world-class. Its atmospheric model is not. By introducing two physically grounded correction layers — the Pressure Belt Multiplier (Pb) and the Marine Coastal Distance Correction (Mc) — we transform the Climatological Coefficient from a flat historical average into a dynamic, location-aware parameter that captures real atmospheric physics.</w:t>
      </w:r>
    </w:p>
    <w:p>
      <w:pPr>
        <w:spacing w:after="120"/>
        <w:jc w:val="left"/>
      </w:pPr>
      <w:r>
        <w:rPr>
          <w:rFonts w:ascii="Arial" w:cs="Arial" w:eastAsia="Arial" w:hAnsi="Arial"/>
          <w:b w:val="false"/>
          <w:bCs w:val="false"/>
          <w:i w:val="false"/>
          <w:iCs w:val="false"/>
          <w:color w:val="333333"/>
          <w:sz w:val="22"/>
          <w:szCs w:val="22"/>
        </w:rPr>
        <w:t xml:space="preserve">This is not a machine learning black box. It is an interpretable, physics-first correction that any atmospheric scientist can validate, any engineer can implement, and any homeowner can understand: “Your roof gets more sun than the regional average because you’re in a high-pressure zone near the coast.”</w:t>
      </w:r>
    </w:p>
    <w:p>
      <w:pPr>
        <w:spacing w:after="120"/>
        <w:jc w:val="left"/>
      </w:pPr>
      <w:r>
        <w:rPr>
          <w:rFonts w:ascii="Arial" w:cs="Arial" w:eastAsia="Arial" w:hAnsi="Arial"/>
          <w:b w:val="false"/>
          <w:bCs w:val="false"/>
          <w:i w:val="false"/>
          <w:iCs w:val="false"/>
          <w:color w:val="333333"/>
          <w:sz w:val="22"/>
          <w:szCs w:val="22"/>
        </w:rPr>
        <w:t xml:space="preserve">The result: Project Sunroof evolves from a cool side project into a bankable financial engine — one that can scale globally using nothing more than latitude, coastline distance, and Google’s existing satellite infrastructure.</w:t>
      </w:r>
    </w:p>
    <w:p>
      <w:pPr>
        <w:pBdr>
          <w:top w:val="single" w:color="1A6B3C" w:sz="4" w:space="1"/>
        </w:pBdr>
        <w:spacing w:before="400"/>
        <w:jc w:val="center"/>
      </w:pPr>
      <w:r>
        <w:rPr>
          <w:rFonts w:ascii="Arial" w:cs="Arial" w:eastAsia="Arial" w:hAnsi="Arial"/>
          <w:i/>
          <w:iCs/>
          <w:color w:val="999999"/>
          <w:sz w:val="20"/>
          <w:szCs w:val="20"/>
        </w:rPr>
        <w:t xml:space="preserve">End of case study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Project Sunroof 2.0 — Multi-Scalar Radiant Energy Mapping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6B3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3A2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3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2026-03-15T07:11:41.179Z</dcterms:created>
  <dcterms:modified xsi:type="dcterms:W3CDTF">2026-03-15T07:11:41.180Z</dcterms:modified>
</cp:coreProperties>
</file>

<file path=docProps/custom.xml><?xml version="1.0" encoding="utf-8"?>
<Properties xmlns="http://schemas.openxmlformats.org/officeDocument/2006/custom-properties" xmlns:vt="http://schemas.openxmlformats.org/officeDocument/2006/docPropsVTypes"/>
</file>