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31C8" w14:textId="77777777" w:rsidR="00AA5291" w:rsidRDefault="00AA5291" w:rsidP="009C6A5C">
      <w:pPr>
        <w:spacing w:before="2000"/>
        <w:jc w:val="center"/>
      </w:pPr>
    </w:p>
    <w:p w14:paraId="1D199C80" w14:textId="77777777" w:rsidR="00AA5291" w:rsidRDefault="00000000" w:rsidP="009C6A5C">
      <w:pPr>
        <w:spacing w:after="80"/>
        <w:jc w:val="center"/>
      </w:pPr>
      <w:r>
        <w:rPr>
          <w:color w:val="888888"/>
          <w:spacing w:val="200"/>
          <w:sz w:val="20"/>
          <w:szCs w:val="20"/>
        </w:rPr>
        <w:t>PRODUCT CASE STUDY</w:t>
      </w:r>
    </w:p>
    <w:p w14:paraId="7A95A1FA" w14:textId="77777777" w:rsidR="00AA5291" w:rsidRDefault="00000000" w:rsidP="009C6A5C">
      <w:pPr>
        <w:spacing w:after="160"/>
        <w:jc w:val="center"/>
      </w:pPr>
      <w:r>
        <w:rPr>
          <w:b/>
          <w:bCs/>
          <w:color w:val="0078D4"/>
          <w:sz w:val="48"/>
          <w:szCs w:val="48"/>
        </w:rPr>
        <w:t>The Bio-Azure Circular Symbiosis</w:t>
      </w:r>
    </w:p>
    <w:p w14:paraId="5973FEF6" w14:textId="487FA539" w:rsidR="00AA5291" w:rsidRDefault="00000000" w:rsidP="009C6A5C">
      <w:pPr>
        <w:spacing w:after="120"/>
        <w:jc w:val="center"/>
      </w:pPr>
      <w:r>
        <w:rPr>
          <w:color w:val="1B1B1B"/>
          <w:sz w:val="24"/>
          <w:szCs w:val="24"/>
        </w:rPr>
        <w:t>Why Data Centr</w:t>
      </w:r>
      <w:r w:rsidR="009C6A5C">
        <w:rPr>
          <w:color w:val="1B1B1B"/>
          <w:sz w:val="24"/>
          <w:szCs w:val="24"/>
        </w:rPr>
        <w:t>e</w:t>
      </w:r>
      <w:r>
        <w:rPr>
          <w:color w:val="1B1B1B"/>
          <w:sz w:val="24"/>
          <w:szCs w:val="24"/>
        </w:rPr>
        <w:t xml:space="preserve"> Waste Heat Should Power Bio-Foundries,</w:t>
      </w:r>
    </w:p>
    <w:p w14:paraId="5209090B" w14:textId="77777777" w:rsidR="00AA5291" w:rsidRDefault="00000000" w:rsidP="009C6A5C">
      <w:pPr>
        <w:spacing w:after="80"/>
        <w:jc w:val="center"/>
      </w:pPr>
      <w:r>
        <w:rPr>
          <w:color w:val="1B1B1B"/>
          <w:sz w:val="24"/>
          <w:szCs w:val="24"/>
        </w:rPr>
        <w:t>Not Just Homes</w:t>
      </w:r>
    </w:p>
    <w:p w14:paraId="3FACD77E" w14:textId="63F24E47" w:rsidR="00AA5291" w:rsidRDefault="00AA5291" w:rsidP="009C6A5C">
      <w:pPr>
        <w:pBdr>
          <w:bottom w:val="single" w:sz="6" w:space="1" w:color="0078D4"/>
        </w:pBdr>
        <w:spacing w:after="600"/>
        <w:jc w:val="center"/>
      </w:pPr>
    </w:p>
    <w:p w14:paraId="64D3D736" w14:textId="77777777" w:rsidR="00AA5291" w:rsidRDefault="00000000" w:rsidP="009C6A5C">
      <w:pPr>
        <w:spacing w:after="60"/>
        <w:jc w:val="center"/>
      </w:pPr>
      <w:r>
        <w:rPr>
          <w:color w:val="555555"/>
        </w:rPr>
        <w:t>Domain: Product Management × Industrial Symbiosis × Sustainability Engineering</w:t>
      </w:r>
    </w:p>
    <w:p w14:paraId="2DF415AC" w14:textId="77777777" w:rsidR="00AA5291" w:rsidRDefault="00000000" w:rsidP="009C6A5C">
      <w:pPr>
        <w:spacing w:after="60"/>
        <w:jc w:val="center"/>
      </w:pPr>
      <w:r>
        <w:rPr>
          <w:color w:val="555555"/>
        </w:rPr>
        <w:t>Companies: Microsoft (Data Centers) × Bio-Foundry Operators (Precision Fermentation)</w:t>
      </w:r>
    </w:p>
    <w:p w14:paraId="07F04646" w14:textId="77777777" w:rsidR="00AA5291" w:rsidRDefault="00000000" w:rsidP="009C6A5C">
      <w:pPr>
        <w:spacing w:after="60"/>
        <w:jc w:val="center"/>
      </w:pPr>
      <w:r>
        <w:rPr>
          <w:color w:val="555555"/>
        </w:rPr>
        <w:t>Date: March 2026</w:t>
      </w:r>
    </w:p>
    <w:p w14:paraId="27C4964A" w14:textId="77777777" w:rsidR="00AA5291" w:rsidRDefault="00000000" w:rsidP="009C6A5C">
      <w:pPr>
        <w:jc w:val="center"/>
      </w:pPr>
      <w:r>
        <w:br w:type="page"/>
      </w:r>
    </w:p>
    <w:p w14:paraId="3BC66AD3" w14:textId="77777777" w:rsidR="00AA5291" w:rsidRDefault="00000000" w:rsidP="009C6A5C">
      <w:pPr>
        <w:pStyle w:val="Heading1"/>
        <w:jc w:val="both"/>
      </w:pPr>
      <w:r>
        <w:lastRenderedPageBreak/>
        <w:t>Executive summary</w:t>
      </w:r>
    </w:p>
    <w:p w14:paraId="45FD079B" w14:textId="61B1DA13" w:rsidR="00AA5291" w:rsidRDefault="00000000" w:rsidP="009C6A5C">
      <w:pPr>
        <w:spacing w:after="120"/>
        <w:jc w:val="both"/>
      </w:pPr>
      <w:r>
        <w:rPr>
          <w:color w:val="333333"/>
        </w:rPr>
        <w:t>In 2025–2026, every major hyper</w:t>
      </w:r>
      <w:r w:rsidR="009C6A5C">
        <w:rPr>
          <w:color w:val="333333"/>
        </w:rPr>
        <w:t xml:space="preserve"> </w:t>
      </w:r>
      <w:r>
        <w:rPr>
          <w:color w:val="333333"/>
        </w:rPr>
        <w:t xml:space="preserve">scaler — Microsoft, Google, Meta, Amazon — is investing in data center waste heat recovery. Microsoft’s </w:t>
      </w:r>
      <w:r w:rsidRPr="009C6A5C">
        <w:rPr>
          <w:i/>
          <w:iCs/>
          <w:color w:val="333333"/>
          <w:u w:val="single"/>
        </w:rPr>
        <w:t>Espoo project</w:t>
      </w:r>
      <w:r>
        <w:rPr>
          <w:color w:val="333333"/>
        </w:rPr>
        <w:t xml:space="preserve"> will heat 250,000 Finnish residents. Denmark, Sweden, and Germany are building regulations mandating heat reuse. The question is no longer whether waste heat will be captured, but where it goes.</w:t>
      </w:r>
    </w:p>
    <w:p w14:paraId="17198ED1" w14:textId="77777777" w:rsidR="00AA5291" w:rsidRDefault="00000000" w:rsidP="009C6A5C">
      <w:pPr>
        <w:spacing w:after="120"/>
        <w:jc w:val="both"/>
      </w:pPr>
      <w:r>
        <w:rPr>
          <w:color w:val="333333"/>
        </w:rPr>
        <w:t>Today, the answer is universally the same: district heating for homes and offices. This case study argues that’s the wrong first customer.</w:t>
      </w:r>
    </w:p>
    <w:p w14:paraId="4A88A2AB" w14:textId="77777777" w:rsidR="00AA5291" w:rsidRDefault="00000000" w:rsidP="009C6A5C">
      <w:pPr>
        <w:spacing w:after="120"/>
        <w:jc w:val="both"/>
      </w:pPr>
      <w:r>
        <w:rPr>
          <w:b/>
          <w:bCs/>
          <w:color w:val="333333"/>
        </w:rPr>
        <w:t xml:space="preserve">The thesis: </w:t>
      </w:r>
      <w:r>
        <w:rPr>
          <w:color w:val="333333"/>
        </w:rPr>
        <w:t>Bio-foundries running precision fermentation are a superior thermal customer for data center waste heat compared to residential district heating — on every dimension that matters to a product manager: thermal match, load consistency, revenue predictability, co-location synergies, and strategic defensibility.</w:t>
      </w:r>
    </w:p>
    <w:p w14:paraId="76D5638B" w14:textId="77777777" w:rsidR="00AA5291" w:rsidRDefault="00000000" w:rsidP="009C6A5C">
      <w:pPr>
        <w:spacing w:after="120"/>
        <w:jc w:val="both"/>
      </w:pPr>
      <w:r>
        <w:rPr>
          <w:color w:val="333333"/>
        </w:rPr>
        <w:t>This document provides a complete implementation blueprint that a PM at Microsoft’s Cloud + AI Infrastructure division and a PM at a precision fermentation company can use to scope, pilot, and scale this integration.</w:t>
      </w:r>
    </w:p>
    <w:p w14:paraId="7358BB23" w14:textId="77777777" w:rsidR="00AA5291" w:rsidRDefault="00000000" w:rsidP="009C6A5C">
      <w:pPr>
        <w:jc w:val="both"/>
      </w:pPr>
      <w:r>
        <w:br w:type="page"/>
      </w:r>
    </w:p>
    <w:p w14:paraId="2E10206E" w14:textId="77777777" w:rsidR="00AA5291" w:rsidRDefault="00000000" w:rsidP="009C6A5C">
      <w:pPr>
        <w:pStyle w:val="Heading1"/>
        <w:jc w:val="both"/>
      </w:pPr>
      <w:r>
        <w:t>1. The dual problem: Two industries bleeding energy</w:t>
      </w:r>
    </w:p>
    <w:p w14:paraId="3BB8F966" w14:textId="77777777" w:rsidR="00AA5291" w:rsidRDefault="00000000" w:rsidP="009C6A5C">
      <w:pPr>
        <w:pStyle w:val="Heading2"/>
        <w:jc w:val="both"/>
      </w:pPr>
      <w:r>
        <w:t>1.1 Data centers: The heat they can’t stop making</w:t>
      </w:r>
    </w:p>
    <w:p w14:paraId="424484F0" w14:textId="77777777" w:rsidR="00AA5291" w:rsidRDefault="00000000" w:rsidP="009C6A5C">
      <w:pPr>
        <w:spacing w:after="120"/>
        <w:jc w:val="both"/>
      </w:pPr>
      <w:r>
        <w:rPr>
          <w:color w:val="333333"/>
        </w:rPr>
        <w:t>Global data center electricity consumption reached approximately 460 TWh in 2024 and is projected to double by 2030, driven by GenAI workloads. Nearly all of this electricity is ultimately converted to heat. A 20 MW IT load produces approximately 20 MW of thermal power — enough to heat 10,000–15,000 well-insulated European apartments.</w:t>
      </w:r>
    </w:p>
    <w:p w14:paraId="59ACBE95" w14:textId="77777777" w:rsidR="00AA5291" w:rsidRDefault="00000000" w:rsidP="009C6A5C">
      <w:pPr>
        <w:spacing w:after="120"/>
        <w:jc w:val="both"/>
      </w:pPr>
      <w:r>
        <w:rPr>
          <w:color w:val="333333"/>
        </w:rPr>
        <w:t>Microsoft alone operates 300+ data centers worldwide. Next-generation liquid cooling for Nvidia Blackwell and successor GPU architectures captures heat at 45°C–50°C — significantly higher than legacy air-cooled facilities (30–45°C). This higher-temperature waste heat is more thermodynamically valuable and easier to reuse.</w:t>
      </w:r>
    </w:p>
    <w:p w14:paraId="53183A56" w14:textId="77777777" w:rsidR="00AA5291" w:rsidRDefault="00000000" w:rsidP="009C6A5C">
      <w:pPr>
        <w:spacing w:after="120"/>
        <w:jc w:val="both"/>
      </w:pPr>
      <w:r>
        <w:rPr>
          <w:color w:val="333333"/>
        </w:rPr>
        <w:t xml:space="preserve">Currently, this heat is rejected to ambient air via cooling towers, consuming enormous amounts of water and electricity. Up to 40% of a data </w:t>
      </w:r>
      <w:proofErr w:type="spellStart"/>
      <w:r>
        <w:rPr>
          <w:color w:val="333333"/>
        </w:rPr>
        <w:t>center’s</w:t>
      </w:r>
      <w:proofErr w:type="spellEnd"/>
      <w:r>
        <w:rPr>
          <w:color w:val="333333"/>
        </w:rPr>
        <w:t xml:space="preserve"> total energy budget goes to cooling infrastructure alone.</w:t>
      </w:r>
    </w:p>
    <w:p w14:paraId="6382D7C5" w14:textId="77777777" w:rsidR="00AA5291" w:rsidRDefault="00000000" w:rsidP="009C6A5C">
      <w:pPr>
        <w:pStyle w:val="Heading2"/>
        <w:jc w:val="both"/>
      </w:pPr>
      <w:r>
        <w:t>1.2 Bio-foundries: The heat they can’t stop needing</w:t>
      </w:r>
    </w:p>
    <w:p w14:paraId="2D9C9B4D" w14:textId="77777777" w:rsidR="00AA5291" w:rsidRDefault="00000000" w:rsidP="009C6A5C">
      <w:pPr>
        <w:spacing w:after="120"/>
        <w:jc w:val="both"/>
      </w:pPr>
      <w:r>
        <w:rPr>
          <w:color w:val="333333"/>
        </w:rPr>
        <w:t>Precision fermentation — the use of genetically engineered microorganisms to produce proteins, enzymes, and biomaterials — is a rapidly growing industry. The global precision fermentation bioreactors market was valued at $580M in 2024 and is projected to reach $7.6B by 2034 (29.5% CAGR).</w:t>
      </w:r>
    </w:p>
    <w:p w14:paraId="6BFEA0AD" w14:textId="6243ACD8" w:rsidR="00AA5291" w:rsidRDefault="00000000" w:rsidP="009C6A5C">
      <w:pPr>
        <w:spacing w:after="120"/>
        <w:jc w:val="both"/>
      </w:pPr>
      <w:r>
        <w:rPr>
          <w:color w:val="333333"/>
        </w:rPr>
        <w:t>The core energy demand: bioreactors must maintain a constant temperature of 30°C</w:t>
      </w:r>
      <w:r w:rsidR="009C6A5C">
        <w:rPr>
          <w:color w:val="333333"/>
        </w:rPr>
        <w:t>-</w:t>
      </w:r>
      <w:r>
        <w:rPr>
          <w:color w:val="333333"/>
        </w:rPr>
        <w:t>40°C for 72–120</w:t>
      </w:r>
      <w:r w:rsidR="009C6A5C">
        <w:rPr>
          <w:color w:val="333333"/>
        </w:rPr>
        <w:t>-</w:t>
      </w:r>
      <w:r>
        <w:rPr>
          <w:color w:val="333333"/>
        </w:rPr>
        <w:t>hour fermentation cycles. Additional thermal loads include media preparation (30</w:t>
      </w:r>
      <w:r w:rsidR="009C6A5C">
        <w:rPr>
          <w:color w:val="333333"/>
        </w:rPr>
        <w:t>-</w:t>
      </w:r>
      <w:r>
        <w:rPr>
          <w:color w:val="333333"/>
        </w:rPr>
        <w:t>40°C), CIP/SIP cleaning (60</w:t>
      </w:r>
      <w:r w:rsidR="009C6A5C">
        <w:rPr>
          <w:color w:val="333333"/>
        </w:rPr>
        <w:t>-</w:t>
      </w:r>
      <w:r>
        <w:rPr>
          <w:color w:val="333333"/>
        </w:rPr>
        <w:t>80°C with heat-pump boost), spray-drying inlet air (40</w:t>
      </w:r>
      <w:r w:rsidR="009C6A5C">
        <w:rPr>
          <w:color w:val="333333"/>
        </w:rPr>
        <w:t>-</w:t>
      </w:r>
      <w:r>
        <w:rPr>
          <w:color w:val="333333"/>
        </w:rPr>
        <w:t>80°C), and cleanroom HVAC (20</w:t>
      </w:r>
      <w:r w:rsidR="009C6A5C">
        <w:rPr>
          <w:color w:val="333333"/>
        </w:rPr>
        <w:t>-</w:t>
      </w:r>
      <w:r>
        <w:rPr>
          <w:color w:val="333333"/>
        </w:rPr>
        <w:t>25°C year-round).</w:t>
      </w:r>
    </w:p>
    <w:p w14:paraId="22670689" w14:textId="3D4270F4" w:rsidR="00AA5291" w:rsidRDefault="00000000" w:rsidP="009C6A5C">
      <w:pPr>
        <w:spacing w:after="120"/>
        <w:jc w:val="both"/>
      </w:pPr>
      <w:r>
        <w:rPr>
          <w:color w:val="333333"/>
        </w:rPr>
        <w:t>Heating can represent 30</w:t>
      </w:r>
      <w:r w:rsidR="009C6A5C">
        <w:rPr>
          <w:color w:val="333333"/>
        </w:rPr>
        <w:t>-</w:t>
      </w:r>
      <w:r>
        <w:rPr>
          <w:color w:val="333333"/>
        </w:rPr>
        <w:t xml:space="preserve">50% of a bio-foundry’s total energy bill. Most facilities use natural gas boilers or electric heaters </w:t>
      </w:r>
      <w:r w:rsidR="009C6A5C">
        <w:rPr>
          <w:color w:val="333333"/>
        </w:rPr>
        <w:t xml:space="preserve">- </w:t>
      </w:r>
      <w:r>
        <w:rPr>
          <w:color w:val="333333"/>
        </w:rPr>
        <w:t>both expensive and carbon-intensive.</w:t>
      </w:r>
    </w:p>
    <w:p w14:paraId="657268A5" w14:textId="77777777" w:rsidR="00AA5291" w:rsidRDefault="00000000" w:rsidP="009C6A5C">
      <w:pPr>
        <w:jc w:val="both"/>
      </w:pPr>
      <w:r>
        <w:br w:type="page"/>
      </w:r>
    </w:p>
    <w:p w14:paraId="71256897" w14:textId="77777777" w:rsidR="00AA5291" w:rsidRDefault="00000000" w:rsidP="009C6A5C">
      <w:pPr>
        <w:pStyle w:val="Heading1"/>
        <w:jc w:val="both"/>
      </w:pPr>
      <w:r>
        <w:t>2. The core argument: Why bio-foundries beat district heating</w:t>
      </w:r>
    </w:p>
    <w:p w14:paraId="432A6337" w14:textId="77777777" w:rsidR="00AA5291" w:rsidRDefault="00000000" w:rsidP="009C6A5C">
      <w:pPr>
        <w:spacing w:after="120"/>
        <w:jc w:val="both"/>
      </w:pPr>
      <w:r>
        <w:rPr>
          <w:color w:val="333333"/>
        </w:rPr>
        <w:t xml:space="preserve">Every existing data center heat reuse project </w:t>
      </w:r>
      <w:proofErr w:type="gramStart"/>
      <w:r>
        <w:rPr>
          <w:color w:val="333333"/>
        </w:rPr>
        <w:t>routes</w:t>
      </w:r>
      <w:proofErr w:type="gramEnd"/>
      <w:r>
        <w:rPr>
          <w:color w:val="333333"/>
        </w:rPr>
        <w:t xml:space="preserve"> thermal energy to residential district heating. This case study argues that bio-foundries are a superior customer on seven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AA5291" w14:paraId="15E3CE71" w14:textId="77777777" w:rsidTr="009C6A5C">
        <w:tblPrEx>
          <w:tblCellMar>
            <w:top w:w="0" w:type="dxa"/>
            <w:bottom w:w="0" w:type="dxa"/>
          </w:tblCellMar>
        </w:tblPrEx>
        <w:trPr>
          <w:trHeight w:val="323"/>
          <w:tblHeader/>
        </w:trPr>
        <w:tc>
          <w:tcPr>
            <w:tcW w:w="156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4C2D0048" w14:textId="77777777" w:rsidR="00AA5291" w:rsidRPr="009C6A5C" w:rsidRDefault="00000000" w:rsidP="009C6A5C">
            <w:pPr>
              <w:jc w:val="center"/>
            </w:pPr>
            <w:r w:rsidRPr="009C6A5C">
              <w:rPr>
                <w:b/>
                <w:bCs/>
                <w:color w:val="FFFFFF"/>
              </w:rPr>
              <w:t>Dimension</w:t>
            </w:r>
          </w:p>
        </w:tc>
        <w:tc>
          <w:tcPr>
            <w:tcW w:w="390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7570B90C" w14:textId="77777777" w:rsidR="00AA5291" w:rsidRPr="009C6A5C" w:rsidRDefault="00000000" w:rsidP="009C6A5C">
            <w:pPr>
              <w:jc w:val="center"/>
            </w:pPr>
            <w:r w:rsidRPr="009C6A5C">
              <w:rPr>
                <w:b/>
                <w:bCs/>
                <w:color w:val="FFFFFF"/>
              </w:rPr>
              <w:t>District heating (homes)</w:t>
            </w:r>
          </w:p>
        </w:tc>
        <w:tc>
          <w:tcPr>
            <w:tcW w:w="390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0077FAF9" w14:textId="77777777" w:rsidR="00AA5291" w:rsidRPr="009C6A5C" w:rsidRDefault="00000000" w:rsidP="009C6A5C">
            <w:pPr>
              <w:jc w:val="center"/>
            </w:pPr>
            <w:r w:rsidRPr="009C6A5C">
              <w:rPr>
                <w:b/>
                <w:bCs/>
                <w:color w:val="FFFFFF"/>
              </w:rPr>
              <w:t>Bio-foundry (fermentation)</w:t>
            </w:r>
          </w:p>
        </w:tc>
      </w:tr>
      <w:tr w:rsidR="00AA5291" w14:paraId="502EED1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3906E" w14:textId="77777777" w:rsidR="00AA5291" w:rsidRDefault="00000000" w:rsidP="009C6A5C">
            <w:pPr>
              <w:jc w:val="center"/>
            </w:pPr>
            <w:r>
              <w:rPr>
                <w:b/>
                <w:bCs/>
                <w:color w:val="333333"/>
                <w:sz w:val="18"/>
                <w:szCs w:val="18"/>
              </w:rPr>
              <w:t>Thermal match</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8A6F5" w14:textId="77777777" w:rsidR="00AA5291" w:rsidRDefault="00000000" w:rsidP="009C6A5C">
            <w:pPr>
              <w:jc w:val="center"/>
            </w:pPr>
            <w:r>
              <w:rPr>
                <w:color w:val="333333"/>
                <w:sz w:val="18"/>
                <w:szCs w:val="18"/>
              </w:rPr>
              <w:t>Homes need 60–75°C — requires heat pump to boost from DC’s 45–50°C (COP penalty)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A092E" w14:textId="77777777" w:rsidR="00AA5291" w:rsidRDefault="00000000" w:rsidP="009C6A5C">
            <w:pPr>
              <w:jc w:val="center"/>
            </w:pPr>
            <w:r>
              <w:rPr>
                <w:color w:val="107C10"/>
                <w:sz w:val="18"/>
                <w:szCs w:val="18"/>
              </w:rPr>
              <w:t>Bioreactors need 30–40°C — DC heat at 45–50°C can be used DIRECTLY, no heat pump needed</w:t>
            </w:r>
          </w:p>
        </w:tc>
      </w:tr>
      <w:tr w:rsidR="00AA5291" w14:paraId="6B3889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49B0B2" w14:textId="77777777" w:rsidR="00AA5291" w:rsidRDefault="00000000" w:rsidP="009C6A5C">
            <w:pPr>
              <w:jc w:val="center"/>
            </w:pPr>
            <w:r>
              <w:rPr>
                <w:b/>
                <w:bCs/>
                <w:color w:val="333333"/>
                <w:sz w:val="18"/>
                <w:szCs w:val="18"/>
              </w:rPr>
              <w:t>Load profile</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0C6F63" w14:textId="77777777" w:rsidR="00AA5291" w:rsidRDefault="00000000" w:rsidP="009C6A5C">
            <w:pPr>
              <w:jc w:val="center"/>
            </w:pPr>
            <w:r>
              <w:rPr>
                <w:color w:val="333333"/>
                <w:sz w:val="18"/>
                <w:szCs w:val="18"/>
              </w:rPr>
              <w:t>Highly seasonal — demand crashes in summer, creating stranded capacity</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19F0D2" w14:textId="77777777" w:rsidR="00AA5291" w:rsidRDefault="00000000" w:rsidP="009C6A5C">
            <w:pPr>
              <w:jc w:val="center"/>
            </w:pPr>
            <w:r>
              <w:rPr>
                <w:color w:val="107C10"/>
                <w:sz w:val="18"/>
                <w:szCs w:val="18"/>
              </w:rPr>
              <w:t>24/7/365 — fermentation runs year-round, matching DC’s constant heat output</w:t>
            </w:r>
          </w:p>
        </w:tc>
      </w:tr>
      <w:tr w:rsidR="00AA5291" w14:paraId="50EE65E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190DB" w14:textId="77777777" w:rsidR="00AA5291" w:rsidRDefault="00000000" w:rsidP="009C6A5C">
            <w:pPr>
              <w:jc w:val="center"/>
            </w:pPr>
            <w:r>
              <w:rPr>
                <w:b/>
                <w:bCs/>
                <w:color w:val="333333"/>
                <w:sz w:val="18"/>
                <w:szCs w:val="18"/>
              </w:rPr>
              <w:t>Revenue stability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F0909" w14:textId="77777777" w:rsidR="00AA5291" w:rsidRDefault="00000000" w:rsidP="009C6A5C">
            <w:pPr>
              <w:jc w:val="center"/>
            </w:pPr>
            <w:r>
              <w:rPr>
                <w:color w:val="333333"/>
                <w:sz w:val="18"/>
                <w:szCs w:val="18"/>
              </w:rPr>
              <w:t>Variable — depends on winter severity, heating degree days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A7244" w14:textId="77777777" w:rsidR="00AA5291" w:rsidRDefault="00000000" w:rsidP="009C6A5C">
            <w:pPr>
              <w:jc w:val="center"/>
            </w:pPr>
            <w:r>
              <w:rPr>
                <w:color w:val="107C10"/>
                <w:sz w:val="18"/>
                <w:szCs w:val="18"/>
              </w:rPr>
              <w:t>Predictable — industrial process heat contracted via long-term PPA</w:t>
            </w:r>
          </w:p>
        </w:tc>
      </w:tr>
      <w:tr w:rsidR="00AA5291" w14:paraId="7641543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C94362" w14:textId="77777777" w:rsidR="00AA5291" w:rsidRDefault="00000000" w:rsidP="009C6A5C">
            <w:pPr>
              <w:jc w:val="center"/>
            </w:pPr>
            <w:r>
              <w:rPr>
                <w:b/>
                <w:bCs/>
                <w:color w:val="333333"/>
                <w:sz w:val="18"/>
                <w:szCs w:val="18"/>
              </w:rPr>
              <w:t>Heat pump CAPEX</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2B0456" w14:textId="77777777" w:rsidR="00AA5291" w:rsidRDefault="00000000" w:rsidP="009C6A5C">
            <w:pPr>
              <w:jc w:val="center"/>
            </w:pPr>
            <w:r>
              <w:rPr>
                <w:color w:val="333333"/>
                <w:sz w:val="18"/>
                <w:szCs w:val="18"/>
              </w:rPr>
              <w:t>Required — $2–5M per MW of thermal capacity to boost temp</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5202C7" w14:textId="77777777" w:rsidR="00AA5291" w:rsidRDefault="00000000" w:rsidP="009C6A5C">
            <w:pPr>
              <w:jc w:val="center"/>
            </w:pPr>
            <w:r>
              <w:rPr>
                <w:color w:val="107C10"/>
                <w:sz w:val="18"/>
                <w:szCs w:val="18"/>
              </w:rPr>
              <w:t>Minimal or zero — direct heat exchange at matching temperatures</w:t>
            </w:r>
          </w:p>
        </w:tc>
      </w:tr>
      <w:tr w:rsidR="00AA5291" w14:paraId="3F2DB72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8F6EF" w14:textId="77777777" w:rsidR="00AA5291" w:rsidRDefault="00000000" w:rsidP="009C6A5C">
            <w:pPr>
              <w:jc w:val="center"/>
            </w:pPr>
            <w:r>
              <w:rPr>
                <w:b/>
                <w:bCs/>
                <w:color w:val="333333"/>
                <w:sz w:val="18"/>
                <w:szCs w:val="18"/>
              </w:rPr>
              <w:t>Distribution cost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5FBC6" w14:textId="77777777" w:rsidR="00AA5291" w:rsidRDefault="00000000" w:rsidP="009C6A5C">
            <w:pPr>
              <w:jc w:val="center"/>
            </w:pPr>
            <w:r>
              <w:rPr>
                <w:color w:val="333333"/>
                <w:sz w:val="18"/>
                <w:szCs w:val="18"/>
              </w:rPr>
              <w:t>High — requires km of insulated piping to residential areas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8C9AC" w14:textId="77777777" w:rsidR="00AA5291" w:rsidRDefault="00000000" w:rsidP="009C6A5C">
            <w:pPr>
              <w:jc w:val="center"/>
            </w:pPr>
            <w:r>
              <w:rPr>
                <w:color w:val="107C10"/>
                <w:sz w:val="18"/>
                <w:szCs w:val="18"/>
              </w:rPr>
              <w:t>Minimal — co-located campus, pipes measured in meters not km</w:t>
            </w:r>
          </w:p>
        </w:tc>
      </w:tr>
      <w:tr w:rsidR="00AA5291" w14:paraId="5AD1367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D8541E" w14:textId="77777777" w:rsidR="00AA5291" w:rsidRDefault="00000000" w:rsidP="009C6A5C">
            <w:pPr>
              <w:jc w:val="center"/>
            </w:pPr>
            <w:r>
              <w:rPr>
                <w:b/>
                <w:bCs/>
                <w:color w:val="333333"/>
                <w:sz w:val="18"/>
                <w:szCs w:val="18"/>
              </w:rPr>
              <w:t>Co-location fit</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1FF3E4" w14:textId="77777777" w:rsidR="00AA5291" w:rsidRDefault="00000000" w:rsidP="009C6A5C">
            <w:pPr>
              <w:jc w:val="center"/>
            </w:pPr>
            <w:r>
              <w:rPr>
                <w:color w:val="333333"/>
                <w:sz w:val="18"/>
                <w:szCs w:val="18"/>
              </w:rPr>
              <w:t>Poor — DCs are outside cities; homes are inside cities</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DC485E" w14:textId="77777777" w:rsidR="00AA5291" w:rsidRDefault="00000000" w:rsidP="009C6A5C">
            <w:pPr>
              <w:jc w:val="center"/>
            </w:pPr>
            <w:r>
              <w:rPr>
                <w:color w:val="107C10"/>
                <w:sz w:val="18"/>
                <w:szCs w:val="18"/>
              </w:rPr>
              <w:t>Excellent — both require rural/suburban land, clean power, water access</w:t>
            </w:r>
          </w:p>
        </w:tc>
      </w:tr>
      <w:tr w:rsidR="00AA5291" w14:paraId="2586166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401F3" w14:textId="77777777" w:rsidR="00AA5291" w:rsidRDefault="00000000" w:rsidP="009C6A5C">
            <w:pPr>
              <w:jc w:val="center"/>
            </w:pPr>
            <w:r>
              <w:rPr>
                <w:b/>
                <w:bCs/>
                <w:color w:val="333333"/>
                <w:sz w:val="18"/>
                <w:szCs w:val="18"/>
              </w:rPr>
              <w:t>Strategic value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B8505" w14:textId="77777777" w:rsidR="00AA5291" w:rsidRDefault="00000000" w:rsidP="009C6A5C">
            <w:pPr>
              <w:jc w:val="center"/>
            </w:pPr>
            <w:r>
              <w:rPr>
                <w:color w:val="333333"/>
                <w:sz w:val="18"/>
                <w:szCs w:val="18"/>
              </w:rPr>
              <w:t xml:space="preserve">Commodity </w:t>
            </w:r>
            <w:proofErr w:type="spellStart"/>
            <w:r>
              <w:rPr>
                <w:color w:val="333333"/>
                <w:sz w:val="18"/>
                <w:szCs w:val="18"/>
              </w:rPr>
              <w:t>heat</w:t>
            </w:r>
            <w:proofErr w:type="spellEnd"/>
            <w:r>
              <w:rPr>
                <w:color w:val="333333"/>
                <w:sz w:val="18"/>
                <w:szCs w:val="18"/>
              </w:rPr>
              <w:t xml:space="preserve"> sale — no IP, no moat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ADE11" w14:textId="77777777" w:rsidR="00AA5291" w:rsidRDefault="00000000" w:rsidP="009C6A5C">
            <w:pPr>
              <w:jc w:val="center"/>
            </w:pPr>
            <w:r>
              <w:rPr>
                <w:color w:val="107C10"/>
                <w:sz w:val="18"/>
                <w:szCs w:val="18"/>
              </w:rPr>
              <w:t>AI compute + thermal symbiosis — DC runs digital twins for bioreactors, creating platform lock-in</w:t>
            </w:r>
          </w:p>
        </w:tc>
      </w:tr>
    </w:tbl>
    <w:p w14:paraId="24175527" w14:textId="77777777" w:rsidR="00AA5291" w:rsidRDefault="00AA5291" w:rsidP="009C6A5C">
      <w:pPr>
        <w:spacing w:after="200"/>
        <w:jc w:val="both"/>
      </w:pPr>
    </w:p>
    <w:p w14:paraId="2E2A6ED1" w14:textId="5CED7B3F" w:rsidR="00AA5291" w:rsidRDefault="00000000" w:rsidP="009C6A5C">
      <w:pPr>
        <w:spacing w:after="120"/>
        <w:jc w:val="both"/>
      </w:pPr>
      <w:r>
        <w:rPr>
          <w:b/>
          <w:bCs/>
          <w:color w:val="333333"/>
        </w:rPr>
        <w:t xml:space="preserve">The decisive advantage: </w:t>
      </w:r>
      <w:r>
        <w:rPr>
          <w:color w:val="333333"/>
        </w:rPr>
        <w:t>Bio-foundries need heat at exactly the temperature data centers produce it. District heating needs it hotter. This single fact eliminates the most expensive component in every existing heat reuse project — the industrial heat pump. For a 20 MW thermal load, this saves $2</w:t>
      </w:r>
      <w:r w:rsidR="009C6A5C">
        <w:rPr>
          <w:color w:val="333333"/>
        </w:rPr>
        <w:t>-</w:t>
      </w:r>
      <w:r>
        <w:rPr>
          <w:color w:val="333333"/>
        </w:rPr>
        <w:t>5M in CAPEX and avoids the 25</w:t>
      </w:r>
      <w:r w:rsidR="009C6A5C">
        <w:rPr>
          <w:color w:val="333333"/>
        </w:rPr>
        <w:t xml:space="preserve"> - </w:t>
      </w:r>
      <w:r>
        <w:rPr>
          <w:color w:val="333333"/>
        </w:rPr>
        <w:t>40% energy penalty of running the heat pump.</w:t>
      </w:r>
    </w:p>
    <w:p w14:paraId="2CEA23DD" w14:textId="77777777" w:rsidR="00AA5291" w:rsidRDefault="00000000" w:rsidP="009C6A5C">
      <w:pPr>
        <w:jc w:val="both"/>
      </w:pPr>
      <w:r>
        <w:br w:type="page"/>
      </w:r>
    </w:p>
    <w:p w14:paraId="2D6EAA41" w14:textId="77777777" w:rsidR="00AA5291" w:rsidRDefault="00000000" w:rsidP="009C6A5C">
      <w:pPr>
        <w:pStyle w:val="Heading1"/>
        <w:jc w:val="both"/>
      </w:pPr>
      <w:r>
        <w:t>3. Process-level thermal mapping: Where DC heat plugs into the bio-foundry</w:t>
      </w:r>
    </w:p>
    <w:p w14:paraId="098658B5" w14:textId="77777777" w:rsidR="00AA5291" w:rsidRDefault="00000000" w:rsidP="009C6A5C">
      <w:pPr>
        <w:spacing w:after="120"/>
        <w:jc w:val="both"/>
      </w:pPr>
      <w:r>
        <w:rPr>
          <w:color w:val="333333"/>
        </w:rPr>
        <w:t>The following table maps each bio-foundry process to its thermal requirement and shows how data center waste heat can serve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1314"/>
        <w:gridCol w:w="1314"/>
        <w:gridCol w:w="1314"/>
        <w:gridCol w:w="1314"/>
        <w:gridCol w:w="2385"/>
      </w:tblGrid>
      <w:tr w:rsidR="00AA5291" w14:paraId="6B7A9CCF" w14:textId="77777777" w:rsidTr="009C6A5C">
        <w:tblPrEx>
          <w:tblCellMar>
            <w:top w:w="0" w:type="dxa"/>
            <w:bottom w:w="0" w:type="dxa"/>
          </w:tblCellMar>
        </w:tblPrEx>
        <w:trPr>
          <w:trHeight w:val="606"/>
          <w:tblHeader/>
        </w:trPr>
        <w:tc>
          <w:tcPr>
            <w:tcW w:w="170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0205CA1C" w14:textId="77777777" w:rsidR="00AA5291" w:rsidRPr="009C6A5C" w:rsidRDefault="00000000" w:rsidP="009C6A5C">
            <w:pPr>
              <w:jc w:val="center"/>
            </w:pPr>
            <w:r w:rsidRPr="009C6A5C">
              <w:rPr>
                <w:b/>
                <w:bCs/>
                <w:color w:val="FFFFFF"/>
              </w:rPr>
              <w:t>Bio-foundry process</w:t>
            </w:r>
          </w:p>
        </w:tc>
        <w:tc>
          <w:tcPr>
            <w:tcW w:w="130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33274A0C" w14:textId="77777777" w:rsidR="00AA5291" w:rsidRPr="009C6A5C" w:rsidRDefault="00000000" w:rsidP="009C6A5C">
            <w:pPr>
              <w:jc w:val="center"/>
            </w:pPr>
            <w:r w:rsidRPr="009C6A5C">
              <w:rPr>
                <w:b/>
                <w:bCs/>
                <w:color w:val="FFFFFF"/>
              </w:rPr>
              <w:t>Temp needed</w:t>
            </w:r>
          </w:p>
        </w:tc>
        <w:tc>
          <w:tcPr>
            <w:tcW w:w="130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055078D8" w14:textId="77777777" w:rsidR="00AA5291" w:rsidRPr="009C6A5C" w:rsidRDefault="00000000" w:rsidP="009C6A5C">
            <w:pPr>
              <w:jc w:val="center"/>
            </w:pPr>
            <w:r w:rsidRPr="009C6A5C">
              <w:rPr>
                <w:b/>
                <w:bCs/>
                <w:color w:val="FFFFFF"/>
              </w:rPr>
              <w:t>DC heat available</w:t>
            </w:r>
          </w:p>
        </w:tc>
        <w:tc>
          <w:tcPr>
            <w:tcW w:w="130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7B38AFB6" w14:textId="0B391333" w:rsidR="00AA5291" w:rsidRPr="009C6A5C" w:rsidRDefault="00000000" w:rsidP="009C6A5C">
            <w:pPr>
              <w:jc w:val="center"/>
            </w:pPr>
            <w:r w:rsidRPr="009C6A5C">
              <w:rPr>
                <w:b/>
                <w:bCs/>
                <w:color w:val="FFFFFF"/>
              </w:rPr>
              <w:t>Direct match</w:t>
            </w:r>
          </w:p>
        </w:tc>
        <w:tc>
          <w:tcPr>
            <w:tcW w:w="130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48B9D0A1" w14:textId="27A24107" w:rsidR="00AA5291" w:rsidRPr="009C6A5C" w:rsidRDefault="00000000" w:rsidP="009C6A5C">
            <w:pPr>
              <w:jc w:val="center"/>
            </w:pPr>
            <w:r w:rsidRPr="009C6A5C">
              <w:rPr>
                <w:b/>
                <w:bCs/>
                <w:color w:val="FFFFFF"/>
              </w:rPr>
              <w:t>Heat pump needed</w:t>
            </w:r>
          </w:p>
        </w:tc>
        <w:tc>
          <w:tcPr>
            <w:tcW w:w="236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1B857F8A" w14:textId="77777777" w:rsidR="00AA5291" w:rsidRPr="009C6A5C" w:rsidRDefault="00000000" w:rsidP="009C6A5C">
            <w:pPr>
              <w:jc w:val="center"/>
            </w:pPr>
            <w:r w:rsidRPr="009C6A5C">
              <w:rPr>
                <w:b/>
                <w:bCs/>
                <w:color w:val="FFFFFF"/>
              </w:rPr>
              <w:t>Notes</w:t>
            </w:r>
          </w:p>
        </w:tc>
      </w:tr>
      <w:tr w:rsidR="00AA5291" w14:paraId="2F5FED1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E9C92" w14:textId="77777777" w:rsidR="00AA5291" w:rsidRDefault="00000000" w:rsidP="009C6A5C">
            <w:pPr>
              <w:jc w:val="center"/>
            </w:pPr>
            <w:r>
              <w:rPr>
                <w:color w:val="333333"/>
                <w:sz w:val="18"/>
                <w:szCs w:val="18"/>
              </w:rPr>
              <w:t>Bioreactor incubation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9721E" w14:textId="77777777" w:rsidR="00AA5291" w:rsidRDefault="00000000" w:rsidP="009C6A5C">
            <w:pPr>
              <w:jc w:val="center"/>
            </w:pPr>
            <w:r>
              <w:rPr>
                <w:color w:val="333333"/>
                <w:sz w:val="18"/>
                <w:szCs w:val="18"/>
              </w:rPr>
              <w:t>30–37°C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C402" w14:textId="77777777" w:rsidR="00AA5291" w:rsidRDefault="00000000" w:rsidP="009C6A5C">
            <w:pPr>
              <w:jc w:val="center"/>
            </w:pPr>
            <w:r>
              <w:rPr>
                <w:color w:val="333333"/>
                <w:sz w:val="18"/>
                <w:szCs w:val="18"/>
              </w:rPr>
              <w:t>45–50°C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B7C21" w14:textId="77777777" w:rsidR="00AA5291" w:rsidRDefault="00000000" w:rsidP="009C6A5C">
            <w:pPr>
              <w:jc w:val="center"/>
            </w:pPr>
            <w:r>
              <w:rPr>
                <w:b/>
                <w:bCs/>
                <w:color w:val="107C10"/>
                <w:sz w:val="18"/>
                <w:szCs w:val="18"/>
              </w:rPr>
              <w:t>YES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6047B" w14:textId="77777777" w:rsidR="00AA5291" w:rsidRDefault="00000000" w:rsidP="009C6A5C">
            <w:pPr>
              <w:jc w:val="center"/>
            </w:pPr>
            <w:r>
              <w:rPr>
                <w:color w:val="333333"/>
                <w:sz w:val="18"/>
                <w:szCs w:val="18"/>
              </w:rPr>
              <w:t>No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6E4AF" w14:textId="77777777" w:rsidR="00AA5291" w:rsidRDefault="00000000" w:rsidP="009C6A5C">
            <w:pPr>
              <w:jc w:val="center"/>
            </w:pPr>
            <w:r>
              <w:rPr>
                <w:color w:val="333333"/>
                <w:sz w:val="18"/>
                <w:szCs w:val="18"/>
              </w:rPr>
              <w:t>Core process. 72–120 hr continuous. Perfect thermal match.</w:t>
            </w:r>
          </w:p>
        </w:tc>
      </w:tr>
      <w:tr w:rsidR="00AA5291" w14:paraId="4CE4F4F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18155B" w14:textId="77777777" w:rsidR="00AA5291" w:rsidRDefault="00000000" w:rsidP="009C6A5C">
            <w:pPr>
              <w:jc w:val="center"/>
            </w:pPr>
            <w:r>
              <w:rPr>
                <w:color w:val="333333"/>
                <w:sz w:val="18"/>
                <w:szCs w:val="18"/>
              </w:rPr>
              <w:t>Media preparation</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F7F0CA" w14:textId="77777777" w:rsidR="00AA5291" w:rsidRDefault="00000000" w:rsidP="009C6A5C">
            <w:pPr>
              <w:jc w:val="center"/>
            </w:pPr>
            <w:r>
              <w:rPr>
                <w:color w:val="333333"/>
                <w:sz w:val="18"/>
                <w:szCs w:val="18"/>
              </w:rPr>
              <w:t>30–40°C</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DD6014" w14:textId="77777777" w:rsidR="00AA5291" w:rsidRDefault="00000000" w:rsidP="009C6A5C">
            <w:pPr>
              <w:jc w:val="center"/>
            </w:pPr>
            <w:r>
              <w:rPr>
                <w:color w:val="333333"/>
                <w:sz w:val="18"/>
                <w:szCs w:val="18"/>
              </w:rPr>
              <w:t>45–50°C</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BBD247" w14:textId="77777777" w:rsidR="00AA5291" w:rsidRDefault="00000000" w:rsidP="009C6A5C">
            <w:pPr>
              <w:jc w:val="center"/>
            </w:pPr>
            <w:r>
              <w:rPr>
                <w:b/>
                <w:bCs/>
                <w:color w:val="107C10"/>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7EE707" w14:textId="77777777" w:rsidR="00AA5291" w:rsidRDefault="00000000" w:rsidP="009C6A5C">
            <w:pPr>
              <w:jc w:val="center"/>
            </w:pPr>
            <w:r>
              <w:rPr>
                <w:color w:val="333333"/>
                <w:sz w:val="18"/>
                <w:szCs w:val="18"/>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71CD7C" w14:textId="77777777" w:rsidR="00AA5291" w:rsidRDefault="00000000" w:rsidP="009C6A5C">
            <w:pPr>
              <w:jc w:val="center"/>
            </w:pPr>
            <w:r>
              <w:rPr>
                <w:color w:val="333333"/>
                <w:sz w:val="18"/>
                <w:szCs w:val="18"/>
              </w:rPr>
              <w:t>Dissolving, pH adjustment, warming feedstock.</w:t>
            </w:r>
          </w:p>
        </w:tc>
      </w:tr>
      <w:tr w:rsidR="00AA5291" w14:paraId="5EA6F60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7CAA9" w14:textId="77777777" w:rsidR="00AA5291" w:rsidRDefault="00000000" w:rsidP="009C6A5C">
            <w:pPr>
              <w:jc w:val="center"/>
            </w:pPr>
            <w:r>
              <w:rPr>
                <w:color w:val="333333"/>
                <w:sz w:val="18"/>
                <w:szCs w:val="18"/>
              </w:rPr>
              <w:t>Seed train (inoculum)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657B7" w14:textId="77777777" w:rsidR="00AA5291" w:rsidRDefault="00000000" w:rsidP="009C6A5C">
            <w:pPr>
              <w:jc w:val="center"/>
            </w:pPr>
            <w:r>
              <w:rPr>
                <w:color w:val="333333"/>
                <w:sz w:val="18"/>
                <w:szCs w:val="18"/>
              </w:rPr>
              <w:t>30–37°C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C24D" w14:textId="77777777" w:rsidR="00AA5291" w:rsidRDefault="00000000" w:rsidP="009C6A5C">
            <w:pPr>
              <w:jc w:val="center"/>
            </w:pPr>
            <w:r>
              <w:rPr>
                <w:color w:val="333333"/>
                <w:sz w:val="18"/>
                <w:szCs w:val="18"/>
              </w:rPr>
              <w:t>45–50°C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DCE00" w14:textId="77777777" w:rsidR="00AA5291" w:rsidRDefault="00000000" w:rsidP="009C6A5C">
            <w:pPr>
              <w:jc w:val="center"/>
            </w:pPr>
            <w:r>
              <w:rPr>
                <w:b/>
                <w:bCs/>
                <w:color w:val="107C10"/>
                <w:sz w:val="18"/>
                <w:szCs w:val="18"/>
              </w:rPr>
              <w:t>YES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4C185" w14:textId="77777777" w:rsidR="00AA5291" w:rsidRDefault="00000000" w:rsidP="009C6A5C">
            <w:pPr>
              <w:jc w:val="center"/>
            </w:pPr>
            <w:r>
              <w:rPr>
                <w:color w:val="333333"/>
                <w:sz w:val="18"/>
                <w:szCs w:val="18"/>
              </w:rPr>
              <w:t>No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FE42" w14:textId="77777777" w:rsidR="00AA5291" w:rsidRDefault="00000000" w:rsidP="009C6A5C">
            <w:pPr>
              <w:jc w:val="center"/>
            </w:pPr>
            <w:r>
              <w:rPr>
                <w:color w:val="333333"/>
                <w:sz w:val="18"/>
                <w:szCs w:val="18"/>
              </w:rPr>
              <w:t>Progressive scale-up. Strict temp control.</w:t>
            </w:r>
          </w:p>
        </w:tc>
      </w:tr>
      <w:tr w:rsidR="00AA5291" w14:paraId="160CB2B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395265" w14:textId="77777777" w:rsidR="00AA5291" w:rsidRDefault="00000000" w:rsidP="009C6A5C">
            <w:pPr>
              <w:jc w:val="center"/>
            </w:pPr>
            <w:r>
              <w:rPr>
                <w:color w:val="333333"/>
                <w:sz w:val="18"/>
                <w:szCs w:val="18"/>
              </w:rPr>
              <w:t>Cleanroom HVAC</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1ABD17" w14:textId="77777777" w:rsidR="00AA5291" w:rsidRDefault="00000000" w:rsidP="009C6A5C">
            <w:pPr>
              <w:jc w:val="center"/>
            </w:pPr>
            <w:r>
              <w:rPr>
                <w:color w:val="333333"/>
                <w:sz w:val="18"/>
                <w:szCs w:val="18"/>
              </w:rPr>
              <w:t>20–25°C</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D4F160" w14:textId="77777777" w:rsidR="00AA5291" w:rsidRDefault="00000000" w:rsidP="009C6A5C">
            <w:pPr>
              <w:jc w:val="center"/>
            </w:pPr>
            <w:r>
              <w:rPr>
                <w:color w:val="333333"/>
                <w:sz w:val="18"/>
                <w:szCs w:val="18"/>
              </w:rPr>
              <w:t>45–50°C</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3CB76E" w14:textId="77777777" w:rsidR="00AA5291" w:rsidRDefault="00000000" w:rsidP="009C6A5C">
            <w:pPr>
              <w:jc w:val="center"/>
            </w:pPr>
            <w:r>
              <w:rPr>
                <w:b/>
                <w:bCs/>
                <w:color w:val="107C10"/>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55E2B5" w14:textId="77777777" w:rsidR="00AA5291" w:rsidRDefault="00000000" w:rsidP="009C6A5C">
            <w:pPr>
              <w:jc w:val="center"/>
            </w:pPr>
            <w:r>
              <w:rPr>
                <w:color w:val="333333"/>
                <w:sz w:val="18"/>
                <w:szCs w:val="18"/>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E71B3D" w14:textId="77777777" w:rsidR="00AA5291" w:rsidRDefault="00000000" w:rsidP="009C6A5C">
            <w:pPr>
              <w:jc w:val="center"/>
            </w:pPr>
            <w:r>
              <w:rPr>
                <w:color w:val="333333"/>
                <w:sz w:val="18"/>
                <w:szCs w:val="18"/>
              </w:rPr>
              <w:t>Year-round conditioning. DC heat for reheat coils.</w:t>
            </w:r>
          </w:p>
        </w:tc>
      </w:tr>
      <w:tr w:rsidR="00AA5291" w14:paraId="2AFE0D5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05812" w14:textId="77777777" w:rsidR="00AA5291" w:rsidRDefault="00000000" w:rsidP="009C6A5C">
            <w:pPr>
              <w:jc w:val="center"/>
            </w:pPr>
            <w:r>
              <w:rPr>
                <w:color w:val="333333"/>
                <w:sz w:val="18"/>
                <w:szCs w:val="18"/>
              </w:rPr>
              <w:t>Spray-drying inlet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F5240" w14:textId="77777777" w:rsidR="00AA5291" w:rsidRDefault="00000000" w:rsidP="009C6A5C">
            <w:pPr>
              <w:jc w:val="center"/>
            </w:pPr>
            <w:r>
              <w:rPr>
                <w:color w:val="333333"/>
                <w:sz w:val="18"/>
                <w:szCs w:val="18"/>
              </w:rPr>
              <w:t>40–80°C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3456E" w14:textId="77777777" w:rsidR="00AA5291" w:rsidRDefault="00000000" w:rsidP="009C6A5C">
            <w:pPr>
              <w:jc w:val="center"/>
            </w:pPr>
            <w:r>
              <w:rPr>
                <w:color w:val="333333"/>
                <w:sz w:val="18"/>
                <w:szCs w:val="18"/>
              </w:rPr>
              <w:t>45–50°C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B6F91" w14:textId="77777777" w:rsidR="00AA5291" w:rsidRDefault="00000000" w:rsidP="009C6A5C">
            <w:pPr>
              <w:jc w:val="center"/>
            </w:pPr>
            <w:r>
              <w:rPr>
                <w:color w:val="E67E22"/>
                <w:sz w:val="18"/>
                <w:szCs w:val="18"/>
              </w:rPr>
              <w:t>PARTIAL</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3E903" w14:textId="77777777" w:rsidR="00AA5291" w:rsidRDefault="00000000" w:rsidP="009C6A5C">
            <w:pPr>
              <w:jc w:val="center"/>
            </w:pPr>
            <w:r>
              <w:rPr>
                <w:color w:val="333333"/>
                <w:sz w:val="18"/>
                <w:szCs w:val="18"/>
              </w:rPr>
              <w:t>Small boost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F020A" w14:textId="77777777" w:rsidR="00AA5291" w:rsidRDefault="00000000" w:rsidP="009C6A5C">
            <w:pPr>
              <w:jc w:val="center"/>
            </w:pPr>
            <w:r>
              <w:rPr>
                <w:color w:val="333333"/>
                <w:sz w:val="18"/>
                <w:szCs w:val="18"/>
              </w:rPr>
              <w:t>Lower range direct. Upper range needs +10–30°C boost.</w:t>
            </w:r>
          </w:p>
        </w:tc>
      </w:tr>
      <w:tr w:rsidR="00AA5291" w14:paraId="61E5910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52253B" w14:textId="77777777" w:rsidR="00AA5291" w:rsidRDefault="00000000" w:rsidP="009C6A5C">
            <w:pPr>
              <w:jc w:val="center"/>
            </w:pPr>
            <w:r>
              <w:rPr>
                <w:color w:val="333333"/>
                <w:sz w:val="18"/>
                <w:szCs w:val="18"/>
              </w:rPr>
              <w:t>CIP/SIP cleaning</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6B40D8" w14:textId="77777777" w:rsidR="00AA5291" w:rsidRDefault="00000000" w:rsidP="009C6A5C">
            <w:pPr>
              <w:jc w:val="center"/>
            </w:pPr>
            <w:r>
              <w:rPr>
                <w:color w:val="333333"/>
                <w:sz w:val="18"/>
                <w:szCs w:val="18"/>
              </w:rPr>
              <w:t>60–80°C</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A37469" w14:textId="77777777" w:rsidR="00AA5291" w:rsidRDefault="00000000" w:rsidP="009C6A5C">
            <w:pPr>
              <w:jc w:val="center"/>
            </w:pPr>
            <w:r>
              <w:rPr>
                <w:color w:val="333333"/>
                <w:sz w:val="18"/>
                <w:szCs w:val="18"/>
              </w:rPr>
              <w:t>45–50°C</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B5C718" w14:textId="77777777" w:rsidR="00AA5291" w:rsidRDefault="00000000" w:rsidP="009C6A5C">
            <w:pPr>
              <w:jc w:val="center"/>
            </w:pPr>
            <w:r>
              <w:rPr>
                <w:color w:val="E67E22"/>
                <w:sz w:val="18"/>
                <w:szCs w:val="18"/>
              </w:rPr>
              <w:t>PRE-HEAT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A3D395" w14:textId="77777777" w:rsidR="00AA5291" w:rsidRDefault="00000000" w:rsidP="009C6A5C">
            <w:pPr>
              <w:jc w:val="center"/>
            </w:pPr>
            <w:r>
              <w:rPr>
                <w:color w:val="333333"/>
                <w:sz w:val="18"/>
                <w:szCs w:val="18"/>
              </w:rPr>
              <w:t>Yes (+15–30°C)</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F90299" w14:textId="77777777" w:rsidR="00AA5291" w:rsidRDefault="00000000" w:rsidP="009C6A5C">
            <w:pPr>
              <w:jc w:val="center"/>
            </w:pPr>
            <w:r>
              <w:rPr>
                <w:color w:val="333333"/>
                <w:sz w:val="18"/>
                <w:szCs w:val="18"/>
              </w:rPr>
              <w:t>DC pre-heats water to 50°C. Heat pump boosts to target.</w:t>
            </w:r>
          </w:p>
        </w:tc>
      </w:tr>
      <w:tr w:rsidR="00AA5291" w14:paraId="2E855F6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8C315" w14:textId="77777777" w:rsidR="00AA5291" w:rsidRDefault="00000000" w:rsidP="009C6A5C">
            <w:pPr>
              <w:jc w:val="center"/>
            </w:pPr>
            <w:r>
              <w:rPr>
                <w:color w:val="333333"/>
                <w:sz w:val="18"/>
                <w:szCs w:val="18"/>
              </w:rPr>
              <w:t>Purification / UF/DF</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0CFCC" w14:textId="77777777" w:rsidR="00AA5291" w:rsidRDefault="00000000" w:rsidP="009C6A5C">
            <w:pPr>
              <w:jc w:val="center"/>
            </w:pPr>
            <w:r>
              <w:rPr>
                <w:color w:val="333333"/>
                <w:sz w:val="18"/>
                <w:szCs w:val="18"/>
              </w:rPr>
              <w:t>25–35°C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B6C6" w14:textId="77777777" w:rsidR="00AA5291" w:rsidRDefault="00000000" w:rsidP="009C6A5C">
            <w:pPr>
              <w:jc w:val="center"/>
            </w:pPr>
            <w:r>
              <w:rPr>
                <w:color w:val="333333"/>
                <w:sz w:val="18"/>
                <w:szCs w:val="18"/>
              </w:rPr>
              <w:t>45–50°C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0B8D3" w14:textId="77777777" w:rsidR="00AA5291" w:rsidRDefault="00000000" w:rsidP="009C6A5C">
            <w:pPr>
              <w:jc w:val="center"/>
            </w:pPr>
            <w:r>
              <w:rPr>
                <w:b/>
                <w:bCs/>
                <w:color w:val="107C10"/>
                <w:sz w:val="18"/>
                <w:szCs w:val="18"/>
              </w:rPr>
              <w:t>YES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F49E6" w14:textId="77777777" w:rsidR="00AA5291" w:rsidRDefault="00000000" w:rsidP="009C6A5C">
            <w:pPr>
              <w:jc w:val="center"/>
            </w:pPr>
            <w:r>
              <w:rPr>
                <w:color w:val="333333"/>
                <w:sz w:val="18"/>
                <w:szCs w:val="18"/>
              </w:rPr>
              <w:t>No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2CED3" w14:textId="77777777" w:rsidR="00AA5291" w:rsidRDefault="00000000" w:rsidP="009C6A5C">
            <w:pPr>
              <w:jc w:val="center"/>
            </w:pPr>
            <w:r>
              <w:rPr>
                <w:color w:val="333333"/>
                <w:sz w:val="18"/>
                <w:szCs w:val="18"/>
              </w:rPr>
              <w:t>Membrane processes. Mild temperature control.</w:t>
            </w:r>
          </w:p>
        </w:tc>
      </w:tr>
    </w:tbl>
    <w:p w14:paraId="4DAAAC38" w14:textId="77777777" w:rsidR="00AA5291" w:rsidRDefault="00AA5291" w:rsidP="009C6A5C">
      <w:pPr>
        <w:spacing w:after="200"/>
        <w:jc w:val="both"/>
      </w:pPr>
    </w:p>
    <w:p w14:paraId="279DAF18" w14:textId="77777777" w:rsidR="00AA5291" w:rsidRDefault="00000000" w:rsidP="009C6A5C">
      <w:pPr>
        <w:spacing w:after="120"/>
        <w:jc w:val="both"/>
      </w:pPr>
      <w:r>
        <w:rPr>
          <w:b/>
          <w:bCs/>
          <w:color w:val="333333"/>
        </w:rPr>
        <w:t xml:space="preserve">Result: </w:t>
      </w:r>
      <w:r>
        <w:rPr>
          <w:color w:val="333333"/>
        </w:rPr>
        <w:t>5 of 7 bio-foundry processes can use data center waste heat DIRECTLY with no temperature boost. The remaining 2 (CIP/SIP and spray-drying upper range) benefit from pre-heating, reducing heat pump duty by 50–70% compared to starting from ambient.</w:t>
      </w:r>
    </w:p>
    <w:p w14:paraId="675301E2" w14:textId="77777777" w:rsidR="00AA5291" w:rsidRDefault="00000000" w:rsidP="009C6A5C">
      <w:pPr>
        <w:jc w:val="both"/>
      </w:pPr>
      <w:r>
        <w:br w:type="page"/>
      </w:r>
    </w:p>
    <w:p w14:paraId="767C36F4" w14:textId="77777777" w:rsidR="00AA5291" w:rsidRDefault="00000000" w:rsidP="009C6A5C">
      <w:pPr>
        <w:pStyle w:val="Heading1"/>
        <w:jc w:val="both"/>
      </w:pPr>
      <w:r>
        <w:t>4. Beyond heat: The co-location synergy stack</w:t>
      </w:r>
    </w:p>
    <w:p w14:paraId="16553883" w14:textId="77777777" w:rsidR="00AA5291" w:rsidRDefault="00000000" w:rsidP="009C6A5C">
      <w:pPr>
        <w:spacing w:after="120"/>
        <w:jc w:val="both"/>
      </w:pPr>
      <w:r>
        <w:rPr>
          <w:color w:val="333333"/>
        </w:rPr>
        <w:t>Heat is the primary value driver, but co-locating a bio-foundry next to a data center unlocks four additional synergies that make the partnership far more valuable than a simple thermal transaction:</w:t>
      </w:r>
    </w:p>
    <w:p w14:paraId="5E65B575" w14:textId="77777777" w:rsidR="00AA5291" w:rsidRDefault="00000000" w:rsidP="009C6A5C">
      <w:pPr>
        <w:pStyle w:val="Heading2"/>
        <w:jc w:val="both"/>
      </w:pPr>
      <w:r>
        <w:t>4.1 Compute synergy: AI-powered digital twins</w:t>
      </w:r>
    </w:p>
    <w:p w14:paraId="7EEF285C" w14:textId="77777777" w:rsidR="00AA5291" w:rsidRDefault="00000000" w:rsidP="009C6A5C">
      <w:pPr>
        <w:spacing w:after="120"/>
        <w:jc w:val="both"/>
      </w:pPr>
      <w:r>
        <w:rPr>
          <w:color w:val="333333"/>
        </w:rPr>
        <w:t>Precision fermentation increasingly relies on AI for strain optimization, metabolic flux analysis, and real-time process control. A co-located data center provides zero-latency access to GPU compute for running digital twins of every bioreactor — simulating fermentation dynamics in real-time and optimizing setpoints (pH, dissolved oxygen, feeding rate, temperature) based on live sensor data. This creates a platform lock-in: the bio-foundry becomes dependent on the DC’s compute, not just its heat.</w:t>
      </w:r>
    </w:p>
    <w:p w14:paraId="37EC4FFA" w14:textId="77777777" w:rsidR="00AA5291" w:rsidRDefault="00000000" w:rsidP="009C6A5C">
      <w:pPr>
        <w:pStyle w:val="Heading2"/>
        <w:jc w:val="both"/>
      </w:pPr>
      <w:r>
        <w:t>4.2 Water synergy: Circular loop recycling</w:t>
      </w:r>
    </w:p>
    <w:p w14:paraId="7FC4FBB7" w14:textId="77777777" w:rsidR="00AA5291" w:rsidRDefault="00000000" w:rsidP="009C6A5C">
      <w:pPr>
        <w:spacing w:after="120"/>
        <w:jc w:val="both"/>
      </w:pPr>
      <w:r>
        <w:rPr>
          <w:color w:val="333333"/>
        </w:rPr>
        <w:t>Both facilities consume significant water. Data centers use it for cooling; bio-foundries use it for media preparation, cleaning, and process water. A shared water treatment and recycling plant can reduce combined consumption by 20–30 million liters per year, with the added benefit of shared CAPEX for reverse osmosis and UV sterilization infrastructure.</w:t>
      </w:r>
    </w:p>
    <w:p w14:paraId="42F989C6" w14:textId="77777777" w:rsidR="00AA5291" w:rsidRDefault="00000000" w:rsidP="009C6A5C">
      <w:pPr>
        <w:pStyle w:val="Heading2"/>
        <w:jc w:val="both"/>
      </w:pPr>
      <w:r>
        <w:t>4.3 Power synergy: Shared clean energy PPAs</w:t>
      </w:r>
    </w:p>
    <w:p w14:paraId="7A275927" w14:textId="77777777" w:rsidR="00AA5291" w:rsidRDefault="00000000" w:rsidP="009C6A5C">
      <w:pPr>
        <w:spacing w:after="120"/>
        <w:jc w:val="both"/>
      </w:pPr>
      <w:r>
        <w:rPr>
          <w:color w:val="333333"/>
        </w:rPr>
        <w:t>Both facilities need 99.99%+ uptime and clean energy. A shared Power Purchase Agreement (PPA) for on-site solar, wind, or Small Modular Reactors (SMRs) reduces per-unit energy cost for both parties through volume aggregation. Microsoft is already investing heavily in nuclear SMRs for its data centers — a co-located bio-foundry can ride this investment.</w:t>
      </w:r>
    </w:p>
    <w:p w14:paraId="52942068" w14:textId="77777777" w:rsidR="00AA5291" w:rsidRDefault="00000000" w:rsidP="009C6A5C">
      <w:pPr>
        <w:pStyle w:val="Heading2"/>
        <w:jc w:val="both"/>
      </w:pPr>
      <w:r>
        <w:t>4.4 Security synergy: Unified campus protection</w:t>
      </w:r>
    </w:p>
    <w:p w14:paraId="17AC1DB6" w14:textId="77777777" w:rsidR="00AA5291" w:rsidRDefault="00000000" w:rsidP="009C6A5C">
      <w:pPr>
        <w:spacing w:after="120"/>
        <w:jc w:val="both"/>
      </w:pPr>
      <w:r>
        <w:rPr>
          <w:color w:val="333333"/>
        </w:rPr>
        <w:t>Data centers protect AI model weights and customer data. Bio-foundries protect proprietary microbial strains and genetic IP. Both require physical security, access control, and environmental monitoring. A unified “Fortress Campus” model shares security infrastructure, reducing per-facility cost while increasing protection for both parties’ intellectual property.</w:t>
      </w:r>
    </w:p>
    <w:p w14:paraId="40FC801F" w14:textId="77777777" w:rsidR="00AA5291" w:rsidRDefault="00000000" w:rsidP="009C6A5C">
      <w:pPr>
        <w:jc w:val="both"/>
      </w:pPr>
      <w:r>
        <w:br w:type="page"/>
      </w:r>
    </w:p>
    <w:p w14:paraId="31CBF729" w14:textId="77777777" w:rsidR="00AA5291" w:rsidRDefault="00000000" w:rsidP="009C6A5C">
      <w:pPr>
        <w:pStyle w:val="Heading1"/>
        <w:jc w:val="both"/>
      </w:pPr>
      <w:r>
        <w:t>5. Financial impact model</w:t>
      </w:r>
    </w:p>
    <w:p w14:paraId="78D5A7D3" w14:textId="77777777" w:rsidR="00AA5291" w:rsidRDefault="00000000" w:rsidP="009C6A5C">
      <w:pPr>
        <w:spacing w:after="120"/>
        <w:jc w:val="both"/>
      </w:pPr>
      <w:r>
        <w:rPr>
          <w:color w:val="333333"/>
        </w:rPr>
        <w:t>The following estimates are based on a mid-sized co-located campus: 20 MW IT load data center + 5,000 m³ bio-foundry:</w:t>
      </w: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0"/>
        <w:gridCol w:w="3130"/>
        <w:gridCol w:w="3130"/>
      </w:tblGrid>
      <w:tr w:rsidR="00AA5291" w14:paraId="3828EDE2" w14:textId="77777777" w:rsidTr="007F57DF">
        <w:tblPrEx>
          <w:tblCellMar>
            <w:top w:w="0" w:type="dxa"/>
            <w:bottom w:w="0" w:type="dxa"/>
          </w:tblCellMar>
        </w:tblPrEx>
        <w:trPr>
          <w:trHeight w:val="571"/>
          <w:tblHeader/>
        </w:trPr>
        <w:tc>
          <w:tcPr>
            <w:tcW w:w="313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379431E1" w14:textId="77777777" w:rsidR="00AA5291" w:rsidRPr="009C6A5C" w:rsidRDefault="00000000" w:rsidP="009C6A5C">
            <w:pPr>
              <w:jc w:val="center"/>
              <w:rPr>
                <w:sz w:val="24"/>
                <w:szCs w:val="24"/>
              </w:rPr>
            </w:pPr>
            <w:r w:rsidRPr="009C6A5C">
              <w:rPr>
                <w:b/>
                <w:bCs/>
                <w:color w:val="FFFFFF"/>
                <w:sz w:val="24"/>
                <w:szCs w:val="24"/>
              </w:rPr>
              <w:t>Metric</w:t>
            </w:r>
          </w:p>
        </w:tc>
        <w:tc>
          <w:tcPr>
            <w:tcW w:w="313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4B4A51B0" w14:textId="5E13BC8A" w:rsidR="00AA5291" w:rsidRPr="009C6A5C" w:rsidRDefault="00000000" w:rsidP="009C6A5C">
            <w:pPr>
              <w:jc w:val="center"/>
              <w:rPr>
                <w:sz w:val="24"/>
                <w:szCs w:val="24"/>
              </w:rPr>
            </w:pPr>
            <w:r w:rsidRPr="009C6A5C">
              <w:rPr>
                <w:b/>
                <w:bCs/>
                <w:color w:val="FFFFFF"/>
                <w:sz w:val="24"/>
                <w:szCs w:val="24"/>
              </w:rPr>
              <w:t xml:space="preserve">Without </w:t>
            </w:r>
            <w:r w:rsidR="009C6A5C">
              <w:rPr>
                <w:b/>
                <w:bCs/>
                <w:color w:val="FFFFFF"/>
                <w:sz w:val="24"/>
                <w:szCs w:val="24"/>
              </w:rPr>
              <w:t>S</w:t>
            </w:r>
            <w:r w:rsidRPr="009C6A5C">
              <w:rPr>
                <w:b/>
                <w:bCs/>
                <w:color w:val="FFFFFF"/>
                <w:sz w:val="24"/>
                <w:szCs w:val="24"/>
              </w:rPr>
              <w:t>ymbiosis</w:t>
            </w:r>
          </w:p>
        </w:tc>
        <w:tc>
          <w:tcPr>
            <w:tcW w:w="3130"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7D2CBBAE" w14:textId="46578FC7" w:rsidR="00AA5291" w:rsidRPr="009C6A5C" w:rsidRDefault="00000000" w:rsidP="009C6A5C">
            <w:pPr>
              <w:jc w:val="center"/>
              <w:rPr>
                <w:sz w:val="24"/>
                <w:szCs w:val="24"/>
              </w:rPr>
            </w:pPr>
            <w:r w:rsidRPr="009C6A5C">
              <w:rPr>
                <w:b/>
                <w:bCs/>
                <w:color w:val="FFFFFF"/>
                <w:sz w:val="24"/>
                <w:szCs w:val="24"/>
              </w:rPr>
              <w:t xml:space="preserve">With </w:t>
            </w:r>
            <w:r w:rsidR="009C6A5C">
              <w:rPr>
                <w:b/>
                <w:bCs/>
                <w:color w:val="FFFFFF"/>
                <w:sz w:val="24"/>
                <w:szCs w:val="24"/>
              </w:rPr>
              <w:t>S</w:t>
            </w:r>
            <w:r w:rsidRPr="009C6A5C">
              <w:rPr>
                <w:b/>
                <w:bCs/>
                <w:color w:val="FFFFFF"/>
                <w:sz w:val="24"/>
                <w:szCs w:val="24"/>
              </w:rPr>
              <w:t>ymbiosis</w:t>
            </w:r>
          </w:p>
        </w:tc>
      </w:tr>
      <w:tr w:rsidR="00AA5291" w14:paraId="572DBA55" w14:textId="77777777" w:rsidTr="007F57DF">
        <w:tblPrEx>
          <w:tblCellMar>
            <w:top w:w="0" w:type="dxa"/>
            <w:bottom w:w="0" w:type="dxa"/>
          </w:tblCellMar>
        </w:tblPrEx>
        <w:trPr>
          <w:trHeight w:val="517"/>
        </w:trPr>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D1B1" w14:textId="77777777" w:rsidR="00AA5291" w:rsidRDefault="00000000" w:rsidP="009C6A5C">
            <w:pPr>
              <w:jc w:val="center"/>
            </w:pPr>
            <w:r>
              <w:rPr>
                <w:color w:val="333333"/>
                <w:sz w:val="18"/>
                <w:szCs w:val="18"/>
              </w:rPr>
              <w:t>Bio-foundry annual heating cost</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B3DEF" w14:textId="77777777" w:rsidR="00AA5291" w:rsidRDefault="00000000" w:rsidP="009C6A5C">
            <w:pPr>
              <w:jc w:val="center"/>
            </w:pPr>
            <w:r>
              <w:rPr>
                <w:color w:val="333333"/>
                <w:sz w:val="18"/>
                <w:szCs w:val="18"/>
              </w:rPr>
              <w:t>$2.5M–$4M (gas/electric boilers)</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3AA01" w14:textId="77777777" w:rsidR="00AA5291" w:rsidRDefault="00000000" w:rsidP="009C6A5C">
            <w:pPr>
              <w:jc w:val="center"/>
            </w:pPr>
            <w:r>
              <w:rPr>
                <w:color w:val="107C10"/>
                <w:sz w:val="18"/>
                <w:szCs w:val="18"/>
              </w:rPr>
              <w:t>$0.3M–$0.8M (heat purchase from DC)</w:t>
            </w:r>
          </w:p>
        </w:tc>
      </w:tr>
      <w:tr w:rsidR="00AA5291" w14:paraId="3E5A7168" w14:textId="77777777" w:rsidTr="007F57DF">
        <w:tblPrEx>
          <w:tblCellMar>
            <w:top w:w="0" w:type="dxa"/>
            <w:bottom w:w="0" w:type="dxa"/>
          </w:tblCellMar>
        </w:tblPrEx>
        <w:trPr>
          <w:trHeight w:val="517"/>
        </w:trPr>
        <w:tc>
          <w:tcPr>
            <w:tcW w:w="31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524425" w14:textId="77777777" w:rsidR="00AA5291" w:rsidRDefault="00000000" w:rsidP="009C6A5C">
            <w:pPr>
              <w:jc w:val="center"/>
            </w:pPr>
            <w:r>
              <w:rPr>
                <w:color w:val="333333"/>
                <w:sz w:val="18"/>
                <w:szCs w:val="18"/>
              </w:rPr>
              <w:t>DC cooling CAPEX</w:t>
            </w:r>
          </w:p>
        </w:tc>
        <w:tc>
          <w:tcPr>
            <w:tcW w:w="31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0CFD2F" w14:textId="77777777" w:rsidR="00AA5291" w:rsidRDefault="00000000" w:rsidP="009C6A5C">
            <w:pPr>
              <w:jc w:val="center"/>
            </w:pPr>
            <w:r>
              <w:rPr>
                <w:color w:val="333333"/>
                <w:sz w:val="18"/>
                <w:szCs w:val="18"/>
              </w:rPr>
              <w:t>$15M–$25M (cooling towers + chillers)</w:t>
            </w:r>
          </w:p>
        </w:tc>
        <w:tc>
          <w:tcPr>
            <w:tcW w:w="31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59C153" w14:textId="77777777" w:rsidR="00AA5291" w:rsidRDefault="00000000" w:rsidP="009C6A5C">
            <w:pPr>
              <w:jc w:val="center"/>
            </w:pPr>
            <w:r>
              <w:rPr>
                <w:color w:val="107C10"/>
                <w:sz w:val="18"/>
                <w:szCs w:val="18"/>
              </w:rPr>
              <w:t>$8M–$15M (reduced load, heat has buyer)</w:t>
            </w:r>
          </w:p>
        </w:tc>
      </w:tr>
      <w:tr w:rsidR="00AA5291" w14:paraId="364026C3" w14:textId="77777777" w:rsidTr="007F57DF">
        <w:tblPrEx>
          <w:tblCellMar>
            <w:top w:w="0" w:type="dxa"/>
            <w:bottom w:w="0" w:type="dxa"/>
          </w:tblCellMar>
        </w:tblPrEx>
        <w:trPr>
          <w:trHeight w:val="258"/>
        </w:trPr>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D7E1F" w14:textId="77777777" w:rsidR="00AA5291" w:rsidRDefault="00000000" w:rsidP="009C6A5C">
            <w:pPr>
              <w:jc w:val="center"/>
            </w:pPr>
            <w:r>
              <w:rPr>
                <w:color w:val="333333"/>
                <w:sz w:val="18"/>
                <w:szCs w:val="18"/>
              </w:rPr>
              <w:t>DC annual cooling OPEX</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C2ED9" w14:textId="77777777" w:rsidR="00AA5291" w:rsidRDefault="00000000" w:rsidP="009C6A5C">
            <w:pPr>
              <w:jc w:val="center"/>
            </w:pPr>
            <w:r>
              <w:rPr>
                <w:color w:val="333333"/>
                <w:sz w:val="18"/>
                <w:szCs w:val="18"/>
              </w:rPr>
              <w:t>$3M–$6M (electricity + water)</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E0E87" w14:textId="77777777" w:rsidR="00AA5291" w:rsidRDefault="00000000" w:rsidP="009C6A5C">
            <w:pPr>
              <w:jc w:val="center"/>
            </w:pPr>
            <w:r>
              <w:rPr>
                <w:color w:val="107C10"/>
                <w:sz w:val="18"/>
                <w:szCs w:val="18"/>
              </w:rPr>
              <w:t>$1.5M–$3M (50% reduction)</w:t>
            </w:r>
          </w:p>
        </w:tc>
      </w:tr>
      <w:tr w:rsidR="00AA5291" w14:paraId="4CA9F9E9" w14:textId="77777777" w:rsidTr="007F57DF">
        <w:tblPrEx>
          <w:tblCellMar>
            <w:top w:w="0" w:type="dxa"/>
            <w:bottom w:w="0" w:type="dxa"/>
          </w:tblCellMar>
        </w:tblPrEx>
        <w:trPr>
          <w:trHeight w:val="258"/>
        </w:trPr>
        <w:tc>
          <w:tcPr>
            <w:tcW w:w="31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1BD8E3" w14:textId="77777777" w:rsidR="00AA5291" w:rsidRDefault="00000000" w:rsidP="009C6A5C">
            <w:pPr>
              <w:jc w:val="center"/>
            </w:pPr>
            <w:r>
              <w:rPr>
                <w:color w:val="333333"/>
                <w:sz w:val="18"/>
                <w:szCs w:val="18"/>
              </w:rPr>
              <w:t>DC heat revenue</w:t>
            </w:r>
          </w:p>
        </w:tc>
        <w:tc>
          <w:tcPr>
            <w:tcW w:w="31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5C5256" w14:textId="77777777" w:rsidR="00AA5291" w:rsidRDefault="00000000" w:rsidP="009C6A5C">
            <w:pPr>
              <w:jc w:val="center"/>
            </w:pPr>
            <w:r>
              <w:rPr>
                <w:color w:val="333333"/>
                <w:sz w:val="18"/>
                <w:szCs w:val="18"/>
              </w:rPr>
              <w:t>$0 (heat dumped to air)</w:t>
            </w:r>
          </w:p>
        </w:tc>
        <w:tc>
          <w:tcPr>
            <w:tcW w:w="31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CF66DD" w14:textId="77777777" w:rsidR="00AA5291" w:rsidRDefault="00000000" w:rsidP="009C6A5C">
            <w:pPr>
              <w:jc w:val="center"/>
            </w:pPr>
            <w:r>
              <w:rPr>
                <w:color w:val="107C10"/>
                <w:sz w:val="18"/>
                <w:szCs w:val="18"/>
              </w:rPr>
              <w:t>$0.8M–$1.5M/year (thermal PPA)</w:t>
            </w:r>
          </w:p>
        </w:tc>
      </w:tr>
      <w:tr w:rsidR="00AA5291" w14:paraId="3B310DAD" w14:textId="77777777" w:rsidTr="007F57DF">
        <w:tblPrEx>
          <w:tblCellMar>
            <w:top w:w="0" w:type="dxa"/>
            <w:bottom w:w="0" w:type="dxa"/>
          </w:tblCellMar>
        </w:tblPrEx>
        <w:trPr>
          <w:trHeight w:val="517"/>
        </w:trPr>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54061" w14:textId="77777777" w:rsidR="00AA5291" w:rsidRDefault="00000000" w:rsidP="009C6A5C">
            <w:pPr>
              <w:jc w:val="center"/>
            </w:pPr>
            <w:r>
              <w:rPr>
                <w:color w:val="333333"/>
                <w:sz w:val="18"/>
                <w:szCs w:val="18"/>
              </w:rPr>
              <w:t>Combined carbon footprint</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38FD3" w14:textId="77777777" w:rsidR="00AA5291" w:rsidRDefault="00000000" w:rsidP="009C6A5C">
            <w:pPr>
              <w:jc w:val="center"/>
            </w:pPr>
            <w:r>
              <w:rPr>
                <w:color w:val="333333"/>
                <w:sz w:val="18"/>
                <w:szCs w:val="18"/>
              </w:rPr>
              <w:t>Baseline</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1492D" w14:textId="77777777" w:rsidR="00AA5291" w:rsidRDefault="00000000" w:rsidP="009C6A5C">
            <w:pPr>
              <w:jc w:val="center"/>
            </w:pPr>
            <w:r>
              <w:rPr>
                <w:color w:val="107C10"/>
                <w:sz w:val="18"/>
                <w:szCs w:val="18"/>
              </w:rPr>
              <w:t>−40–60% (displaced fossil heating + reduced cooling)</w:t>
            </w:r>
          </w:p>
        </w:tc>
      </w:tr>
      <w:tr w:rsidR="00AA5291" w14:paraId="181D4D82" w14:textId="77777777" w:rsidTr="007F57DF">
        <w:tblPrEx>
          <w:tblCellMar>
            <w:top w:w="0" w:type="dxa"/>
            <w:bottom w:w="0" w:type="dxa"/>
          </w:tblCellMar>
        </w:tblPrEx>
        <w:trPr>
          <w:trHeight w:val="517"/>
        </w:trPr>
        <w:tc>
          <w:tcPr>
            <w:tcW w:w="31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E686E1" w14:textId="77777777" w:rsidR="00AA5291" w:rsidRDefault="00000000" w:rsidP="009C6A5C">
            <w:pPr>
              <w:jc w:val="center"/>
            </w:pPr>
            <w:r>
              <w:rPr>
                <w:color w:val="333333"/>
                <w:sz w:val="18"/>
                <w:szCs w:val="18"/>
              </w:rPr>
              <w:t>DC Power Usage Effectiveness (PUE)</w:t>
            </w:r>
          </w:p>
        </w:tc>
        <w:tc>
          <w:tcPr>
            <w:tcW w:w="31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D14832" w14:textId="77777777" w:rsidR="00AA5291" w:rsidRDefault="00000000" w:rsidP="009C6A5C">
            <w:pPr>
              <w:jc w:val="center"/>
            </w:pPr>
            <w:r>
              <w:rPr>
                <w:color w:val="333333"/>
                <w:sz w:val="18"/>
                <w:szCs w:val="18"/>
              </w:rPr>
              <w:t>1.2–1.4</w:t>
            </w:r>
          </w:p>
        </w:tc>
        <w:tc>
          <w:tcPr>
            <w:tcW w:w="31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CB7392" w14:textId="77777777" w:rsidR="00AA5291" w:rsidRDefault="00000000" w:rsidP="009C6A5C">
            <w:pPr>
              <w:jc w:val="center"/>
            </w:pPr>
            <w:r>
              <w:rPr>
                <w:color w:val="107C10"/>
                <w:sz w:val="18"/>
                <w:szCs w:val="18"/>
              </w:rPr>
              <w:t>Effective PUE &lt; 1.1 (with ERF credit)</w:t>
            </w:r>
          </w:p>
        </w:tc>
      </w:tr>
      <w:tr w:rsidR="00AA5291" w14:paraId="7A57DDBD" w14:textId="77777777" w:rsidTr="007F57DF">
        <w:tblPrEx>
          <w:tblCellMar>
            <w:top w:w="0" w:type="dxa"/>
            <w:bottom w:w="0" w:type="dxa"/>
          </w:tblCellMar>
        </w:tblPrEx>
        <w:trPr>
          <w:trHeight w:val="258"/>
        </w:trPr>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320D0" w14:textId="77777777" w:rsidR="00AA5291" w:rsidRDefault="00000000" w:rsidP="009C6A5C">
            <w:pPr>
              <w:jc w:val="center"/>
            </w:pPr>
            <w:r>
              <w:rPr>
                <w:color w:val="333333"/>
                <w:sz w:val="18"/>
                <w:szCs w:val="18"/>
              </w:rPr>
              <w:t>Net annual savings (both parties)</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E8D76" w14:textId="77777777" w:rsidR="00AA5291" w:rsidRDefault="00000000" w:rsidP="009C6A5C">
            <w:pPr>
              <w:jc w:val="center"/>
            </w:pPr>
            <w:r>
              <w:rPr>
                <w:color w:val="333333"/>
                <w:sz w:val="18"/>
                <w:szCs w:val="18"/>
              </w:rPr>
              <w:t>Baseline</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5CB5E" w14:textId="77777777" w:rsidR="00AA5291" w:rsidRDefault="00000000" w:rsidP="009C6A5C">
            <w:pPr>
              <w:jc w:val="center"/>
            </w:pPr>
            <w:r>
              <w:rPr>
                <w:b/>
                <w:bCs/>
                <w:color w:val="107C10"/>
                <w:sz w:val="18"/>
                <w:szCs w:val="18"/>
              </w:rPr>
              <w:t>$3M–$6M combined</w:t>
            </w:r>
          </w:p>
        </w:tc>
      </w:tr>
    </w:tbl>
    <w:p w14:paraId="17E2A0F6" w14:textId="77777777" w:rsidR="00AA5291" w:rsidRDefault="00000000" w:rsidP="009C6A5C">
      <w:pPr>
        <w:jc w:val="both"/>
      </w:pPr>
      <w:r>
        <w:br w:type="page"/>
      </w:r>
    </w:p>
    <w:p w14:paraId="6C45B63C" w14:textId="77777777" w:rsidR="00AA5291" w:rsidRDefault="00000000" w:rsidP="009C6A5C">
      <w:pPr>
        <w:pStyle w:val="Heading1"/>
        <w:jc w:val="both"/>
      </w:pPr>
      <w:r>
        <w:t>6. Implementation blueprint for product managers</w:t>
      </w:r>
    </w:p>
    <w:p w14:paraId="496D16D4" w14:textId="3634F5B1" w:rsidR="00AA5291" w:rsidRDefault="00000000" w:rsidP="009C6A5C">
      <w:pPr>
        <w:spacing w:after="120"/>
        <w:jc w:val="both"/>
      </w:pPr>
      <w:r>
        <w:rPr>
          <w:color w:val="333333"/>
        </w:rPr>
        <w:t>This section is designed to be actionable. It maps the roles, decisions, and milestones that a PM at Microsoft’s data</w:t>
      </w:r>
      <w:r w:rsidR="009C6A5C">
        <w:rPr>
          <w:color w:val="333333"/>
        </w:rPr>
        <w:t xml:space="preserve"> </w:t>
      </w:r>
      <w:r>
        <w:rPr>
          <w:color w:val="333333"/>
        </w:rPr>
        <w:t>center infrastructure team and a PM at a bio-foundry operator would need to execute:</w:t>
      </w:r>
    </w:p>
    <w:p w14:paraId="7911A6BE" w14:textId="77777777" w:rsidR="00AA5291" w:rsidRDefault="00000000" w:rsidP="009C6A5C">
      <w:pPr>
        <w:pStyle w:val="Heading2"/>
        <w:jc w:val="both"/>
      </w:pPr>
      <w:r>
        <w:t>6.1 Phase 0: Site selection and feasibility (Months 0–3)</w:t>
      </w:r>
    </w:p>
    <w:p w14:paraId="3536BE29" w14:textId="77777777" w:rsidR="00AA5291" w:rsidRDefault="00000000" w:rsidP="009C6A5C">
      <w:pPr>
        <w:spacing w:after="120"/>
        <w:jc w:val="both"/>
      </w:pPr>
      <w:r>
        <w:rPr>
          <w:b/>
          <w:bCs/>
          <w:color w:val="333333"/>
        </w:rPr>
        <w:t xml:space="preserve">Microsoft PM responsibilities: </w:t>
      </w:r>
      <w:r>
        <w:rPr>
          <w:color w:val="333333"/>
        </w:rPr>
        <w:t>Identify data center campuses with (a) liquid cooling infrastructure producing 45–50°C waste water, (b) available adjacent land or industrial zoning, and (c) regulatory environment supporting industrial heat reuse. Priority candidates: Espoo (Finland), Zaragoza (Spain), Copenhagen (Denmark).</w:t>
      </w:r>
    </w:p>
    <w:p w14:paraId="1029FD8B" w14:textId="77777777" w:rsidR="00AA5291" w:rsidRDefault="00000000" w:rsidP="009C6A5C">
      <w:pPr>
        <w:spacing w:after="120"/>
        <w:jc w:val="both"/>
      </w:pPr>
      <w:r>
        <w:rPr>
          <w:b/>
          <w:bCs/>
          <w:color w:val="333333"/>
        </w:rPr>
        <w:t xml:space="preserve">Bio-foundry PM responsibilities: </w:t>
      </w:r>
      <w:r>
        <w:rPr>
          <w:color w:val="333333"/>
        </w:rPr>
        <w:t>Model thermal demand profile: total MW thermal, hourly load curve, temperature requirements per process, seasonal variation (if any). Identify which processes can use 45–50°C directly vs. which need heat pump boost.</w:t>
      </w:r>
    </w:p>
    <w:p w14:paraId="35F07E63" w14:textId="77777777" w:rsidR="00AA5291" w:rsidRDefault="00000000" w:rsidP="009C6A5C">
      <w:pPr>
        <w:spacing w:after="120"/>
        <w:jc w:val="both"/>
      </w:pPr>
      <w:r>
        <w:rPr>
          <w:b/>
          <w:bCs/>
          <w:color w:val="333333"/>
        </w:rPr>
        <w:t xml:space="preserve">Joint deliverable: </w:t>
      </w:r>
      <w:r>
        <w:rPr>
          <w:color w:val="333333"/>
        </w:rPr>
        <w:t>Thermal feasibility report with heat balance diagram, CAPEX estimate for heat exchange infrastructure, and draft commercial terms (thermal PPA structure).</w:t>
      </w:r>
    </w:p>
    <w:p w14:paraId="662D5AFA" w14:textId="77777777" w:rsidR="00AA5291" w:rsidRDefault="00000000" w:rsidP="009C6A5C">
      <w:pPr>
        <w:pStyle w:val="Heading2"/>
        <w:jc w:val="both"/>
      </w:pPr>
      <w:r>
        <w:t>6.2 Phase 1: Pilot (Months 3–12)</w:t>
      </w:r>
    </w:p>
    <w:p w14:paraId="75081FCE" w14:textId="77777777" w:rsidR="00AA5291" w:rsidRDefault="00000000" w:rsidP="009C6A5C">
      <w:pPr>
        <w:spacing w:after="120"/>
        <w:jc w:val="both"/>
      </w:pPr>
      <w:r>
        <w:rPr>
          <w:b/>
          <w:bCs/>
          <w:color w:val="333333"/>
        </w:rPr>
        <w:t xml:space="preserve">Scope: </w:t>
      </w:r>
      <w:r>
        <w:rPr>
          <w:color w:val="333333"/>
        </w:rPr>
        <w:t>Connect one 500–1,000 m³ bioreactor hall to one data center cooling loop via plate heat exchangers. Instrument heavily for thermal performance data.</w:t>
      </w:r>
    </w:p>
    <w:p w14:paraId="53B90CC2" w14:textId="77777777" w:rsidR="00AA5291" w:rsidRDefault="00000000" w:rsidP="009C6A5C">
      <w:pPr>
        <w:spacing w:after="120"/>
        <w:jc w:val="both"/>
      </w:pPr>
      <w:r>
        <w:rPr>
          <w:b/>
          <w:bCs/>
          <w:color w:val="333333"/>
        </w:rPr>
        <w:t xml:space="preserve">Key metrics to validate: </w:t>
      </w:r>
      <w:r>
        <w:rPr>
          <w:color w:val="333333"/>
        </w:rPr>
        <w:t>Heat transfer efficiency (target &gt;85%), bioreactor temperature stability (±0.5°C), data center cooling load reduction (%), uptime impact on both facilities (target: zero mutual dependency failures).</w:t>
      </w:r>
    </w:p>
    <w:p w14:paraId="7D2B501B" w14:textId="77777777" w:rsidR="00AA5291" w:rsidRDefault="00000000" w:rsidP="009C6A5C">
      <w:pPr>
        <w:spacing w:after="120"/>
        <w:jc w:val="both"/>
      </w:pPr>
      <w:r>
        <w:rPr>
          <w:b/>
          <w:bCs/>
          <w:color w:val="333333"/>
        </w:rPr>
        <w:t xml:space="preserve">Gate to Phase 2: </w:t>
      </w:r>
      <w:r>
        <w:rPr>
          <w:color w:val="333333"/>
        </w:rPr>
        <w:t>Pilot must demonstrate &gt;30% heating cost reduction for bio-foundry and &gt;10% cooling cost reduction for data center, with zero adverse impact on IT operations.</w:t>
      </w:r>
    </w:p>
    <w:p w14:paraId="01AD0FA7" w14:textId="77777777" w:rsidR="00AA5291" w:rsidRDefault="00000000" w:rsidP="009C6A5C">
      <w:pPr>
        <w:pStyle w:val="Heading2"/>
        <w:jc w:val="both"/>
      </w:pPr>
      <w:r>
        <w:t>6.3 Phase 2: Full campus integration (Months 12–24)</w:t>
      </w:r>
    </w:p>
    <w:p w14:paraId="673E2640" w14:textId="77777777" w:rsidR="00AA5291" w:rsidRDefault="00000000" w:rsidP="009C6A5C">
      <w:pPr>
        <w:spacing w:after="120"/>
        <w:jc w:val="both"/>
      </w:pPr>
      <w:r>
        <w:rPr>
          <w:b/>
          <w:bCs/>
          <w:color w:val="333333"/>
        </w:rPr>
        <w:t xml:space="preserve">Scope: </w:t>
      </w:r>
      <w:r>
        <w:rPr>
          <w:color w:val="333333"/>
        </w:rPr>
        <w:t>Expand heat integration to all bio-foundry processes. Add digital twin compute integration. Implement shared water recycling. Establish long-term (10–20 year) thermal PPA.</w:t>
      </w:r>
    </w:p>
    <w:p w14:paraId="564E4203" w14:textId="77777777" w:rsidR="00AA5291" w:rsidRDefault="00000000" w:rsidP="009C6A5C">
      <w:pPr>
        <w:spacing w:after="120"/>
        <w:jc w:val="both"/>
      </w:pPr>
      <w:r>
        <w:rPr>
          <w:b/>
          <w:bCs/>
          <w:color w:val="333333"/>
        </w:rPr>
        <w:t xml:space="preserve">Infrastructure: </w:t>
      </w:r>
      <w:r>
        <w:rPr>
          <w:color w:val="333333"/>
        </w:rPr>
        <w:t>Honeycomb micro-heat exchangers for 90%+ efficiency. Thermal buffer tanks (MWh-scale) for load smoothing. Heat pump boosters for CIP/SIP and spray-drying. IoT sensor mesh for real-time energy metering and automated valve control.</w:t>
      </w:r>
    </w:p>
    <w:p w14:paraId="134758FD" w14:textId="77777777" w:rsidR="00AA5291" w:rsidRDefault="00000000" w:rsidP="009C6A5C">
      <w:pPr>
        <w:pStyle w:val="Heading2"/>
        <w:jc w:val="both"/>
      </w:pPr>
      <w:r>
        <w:t>6.4 Phase 3: Replication and platform (Months 24+)</w:t>
      </w:r>
    </w:p>
    <w:p w14:paraId="332DAAF7" w14:textId="77777777" w:rsidR="00AA5291" w:rsidRDefault="00000000" w:rsidP="009C6A5C">
      <w:pPr>
        <w:spacing w:after="120"/>
        <w:jc w:val="both"/>
      </w:pPr>
      <w:r>
        <w:rPr>
          <w:color w:val="333333"/>
        </w:rPr>
        <w:t>Package the co-located campus as a replicable “Circular Tech Park” blueprint. Publish reference architecture, commercial frameworks, and operational playbooks. Target 3–5 additional campuses globally within 36 months. Position Microsoft not as an energy consumer but as a regional energy anchor.</w:t>
      </w:r>
    </w:p>
    <w:p w14:paraId="7A04A363" w14:textId="77777777" w:rsidR="00AA5291" w:rsidRDefault="00000000" w:rsidP="009C6A5C">
      <w:pPr>
        <w:jc w:val="both"/>
      </w:pPr>
      <w:r>
        <w:br w:type="page"/>
      </w:r>
    </w:p>
    <w:p w14:paraId="1EFD0F1E" w14:textId="77777777" w:rsidR="00AA5291" w:rsidRDefault="00000000" w:rsidP="009C6A5C">
      <w:pPr>
        <w:pStyle w:val="Heading1"/>
        <w:jc w:val="both"/>
      </w:pPr>
      <w:r>
        <w:t>7. Regulatory tailwind</w:t>
      </w:r>
    </w:p>
    <w:p w14:paraId="6D39B901" w14:textId="28C24EEF" w:rsidR="00AA5291" w:rsidRDefault="00000000" w:rsidP="009C6A5C">
      <w:pPr>
        <w:spacing w:after="120"/>
        <w:jc w:val="both"/>
      </w:pPr>
      <w:r>
        <w:rPr>
          <w:color w:val="333333"/>
        </w:rPr>
        <w:t>The timing for this proposal is uniquely favo</w:t>
      </w:r>
      <w:r w:rsidR="009C6A5C">
        <w:rPr>
          <w:color w:val="333333"/>
        </w:rPr>
        <w:t>u</w:t>
      </w:r>
      <w:r>
        <w:rPr>
          <w:color w:val="333333"/>
        </w:rPr>
        <w:t>rable due to emerging regulations:</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1"/>
        <w:gridCol w:w="2341"/>
        <w:gridCol w:w="4683"/>
      </w:tblGrid>
      <w:tr w:rsidR="00AA5291" w14:paraId="228A5CC0" w14:textId="77777777" w:rsidTr="009C6A5C">
        <w:tblPrEx>
          <w:tblCellMar>
            <w:top w:w="0" w:type="dxa"/>
            <w:bottom w:w="0" w:type="dxa"/>
          </w:tblCellMar>
        </w:tblPrEx>
        <w:trPr>
          <w:trHeight w:val="331"/>
          <w:tblHeader/>
        </w:trPr>
        <w:tc>
          <w:tcPr>
            <w:tcW w:w="2341"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5A7B43AA" w14:textId="77777777" w:rsidR="00AA5291" w:rsidRPr="009C6A5C" w:rsidRDefault="00000000" w:rsidP="009C6A5C">
            <w:pPr>
              <w:jc w:val="center"/>
              <w:rPr>
                <w:sz w:val="24"/>
                <w:szCs w:val="24"/>
              </w:rPr>
            </w:pPr>
            <w:r w:rsidRPr="009C6A5C">
              <w:rPr>
                <w:b/>
                <w:bCs/>
                <w:color w:val="FFFFFF"/>
                <w:sz w:val="24"/>
                <w:szCs w:val="24"/>
              </w:rPr>
              <w:t>Region</w:t>
            </w:r>
          </w:p>
        </w:tc>
        <w:tc>
          <w:tcPr>
            <w:tcW w:w="2341"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45DFA49A" w14:textId="77777777" w:rsidR="00AA5291" w:rsidRPr="009C6A5C" w:rsidRDefault="00000000" w:rsidP="009C6A5C">
            <w:pPr>
              <w:jc w:val="center"/>
              <w:rPr>
                <w:sz w:val="24"/>
                <w:szCs w:val="24"/>
              </w:rPr>
            </w:pPr>
            <w:r w:rsidRPr="009C6A5C">
              <w:rPr>
                <w:b/>
                <w:bCs/>
                <w:color w:val="FFFFFF"/>
                <w:sz w:val="24"/>
                <w:szCs w:val="24"/>
              </w:rPr>
              <w:t>Regulation</w:t>
            </w:r>
          </w:p>
        </w:tc>
        <w:tc>
          <w:tcPr>
            <w:tcW w:w="4683"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2FBA8B9A" w14:textId="77777777" w:rsidR="00AA5291" w:rsidRPr="009C6A5C" w:rsidRDefault="00000000" w:rsidP="009C6A5C">
            <w:pPr>
              <w:jc w:val="center"/>
              <w:rPr>
                <w:sz w:val="24"/>
                <w:szCs w:val="24"/>
              </w:rPr>
            </w:pPr>
            <w:r w:rsidRPr="009C6A5C">
              <w:rPr>
                <w:b/>
                <w:bCs/>
                <w:color w:val="FFFFFF"/>
                <w:sz w:val="24"/>
                <w:szCs w:val="24"/>
              </w:rPr>
              <w:t>Impact</w:t>
            </w:r>
          </w:p>
        </w:tc>
      </w:tr>
      <w:tr w:rsidR="00AA5291" w14:paraId="5047F4D4" w14:textId="77777777" w:rsidTr="009C6A5C">
        <w:tblPrEx>
          <w:tblCellMar>
            <w:top w:w="0" w:type="dxa"/>
            <w:bottom w:w="0" w:type="dxa"/>
          </w:tblCellMar>
        </w:tblPrEx>
        <w:trPr>
          <w:trHeight w:val="739"/>
        </w:trPr>
        <w:tc>
          <w:tcPr>
            <w:tcW w:w="23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5085E" w14:textId="77777777" w:rsidR="00AA5291" w:rsidRDefault="00000000" w:rsidP="009C6A5C">
            <w:pPr>
              <w:jc w:val="center"/>
            </w:pPr>
            <w:r>
              <w:rPr>
                <w:color w:val="333333"/>
                <w:sz w:val="18"/>
                <w:szCs w:val="18"/>
              </w:rPr>
              <w:t>Germany</w:t>
            </w:r>
          </w:p>
        </w:tc>
        <w:tc>
          <w:tcPr>
            <w:tcW w:w="23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ED717" w14:textId="77777777" w:rsidR="00AA5291" w:rsidRDefault="00000000" w:rsidP="009C6A5C">
            <w:pPr>
              <w:jc w:val="center"/>
            </w:pPr>
            <w:r>
              <w:rPr>
                <w:color w:val="333333"/>
                <w:sz w:val="18"/>
                <w:szCs w:val="18"/>
              </w:rPr>
              <w:t>Energy Efficiency Act (EnEfG)</w:t>
            </w:r>
          </w:p>
        </w:tc>
        <w:tc>
          <w:tcPr>
            <w:tcW w:w="46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E5821" w14:textId="77777777" w:rsidR="00AA5291" w:rsidRDefault="00000000" w:rsidP="009C6A5C">
            <w:pPr>
              <w:jc w:val="center"/>
            </w:pPr>
            <w:r>
              <w:rPr>
                <w:color w:val="333333"/>
                <w:sz w:val="18"/>
                <w:szCs w:val="18"/>
              </w:rPr>
              <w:t>New DCs must reuse 10% of waste heat by July 2026, 15% by 2027, 20% by 2028. Bio-foundry partnership directly satisfies this mandate.</w:t>
            </w:r>
          </w:p>
        </w:tc>
      </w:tr>
      <w:tr w:rsidR="00AA5291" w14:paraId="4167FE4D" w14:textId="77777777" w:rsidTr="009C6A5C">
        <w:tblPrEx>
          <w:tblCellMar>
            <w:top w:w="0" w:type="dxa"/>
            <w:bottom w:w="0" w:type="dxa"/>
          </w:tblCellMar>
        </w:tblPrEx>
        <w:trPr>
          <w:trHeight w:val="729"/>
        </w:trPr>
        <w:tc>
          <w:tcPr>
            <w:tcW w:w="2341"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88592E" w14:textId="77777777" w:rsidR="00AA5291" w:rsidRDefault="00000000" w:rsidP="009C6A5C">
            <w:pPr>
              <w:jc w:val="center"/>
            </w:pPr>
            <w:r>
              <w:rPr>
                <w:color w:val="333333"/>
                <w:sz w:val="18"/>
                <w:szCs w:val="18"/>
              </w:rPr>
              <w:t>EU-wide</w:t>
            </w:r>
          </w:p>
        </w:tc>
        <w:tc>
          <w:tcPr>
            <w:tcW w:w="2341"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D236B1" w14:textId="77777777" w:rsidR="00AA5291" w:rsidRDefault="00000000" w:rsidP="009C6A5C">
            <w:pPr>
              <w:jc w:val="center"/>
            </w:pPr>
            <w:r>
              <w:rPr>
                <w:color w:val="333333"/>
                <w:sz w:val="18"/>
                <w:szCs w:val="18"/>
              </w:rPr>
              <w:t>Energy Efficiency Directive (2023/1791)</w:t>
            </w:r>
          </w:p>
        </w:tc>
        <w:tc>
          <w:tcPr>
            <w:tcW w:w="468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88FD3E" w14:textId="77777777" w:rsidR="00AA5291" w:rsidRDefault="00000000" w:rsidP="009C6A5C">
            <w:pPr>
              <w:jc w:val="center"/>
            </w:pPr>
            <w:r>
              <w:rPr>
                <w:color w:val="333333"/>
                <w:sz w:val="18"/>
                <w:szCs w:val="18"/>
              </w:rPr>
              <w:t>Member states must establish waste heat action plans by 2030. DCs above 1 MW must assess heat reuse from Oct 2025.</w:t>
            </w:r>
          </w:p>
        </w:tc>
      </w:tr>
      <w:tr w:rsidR="00AA5291" w14:paraId="417E8975" w14:textId="77777777" w:rsidTr="009C6A5C">
        <w:tblPrEx>
          <w:tblCellMar>
            <w:top w:w="0" w:type="dxa"/>
            <w:bottom w:w="0" w:type="dxa"/>
          </w:tblCellMar>
        </w:tblPrEx>
        <w:trPr>
          <w:trHeight w:val="492"/>
        </w:trPr>
        <w:tc>
          <w:tcPr>
            <w:tcW w:w="23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3B473" w14:textId="77777777" w:rsidR="00AA5291" w:rsidRDefault="00000000" w:rsidP="009C6A5C">
            <w:pPr>
              <w:jc w:val="center"/>
            </w:pPr>
            <w:r>
              <w:rPr>
                <w:color w:val="333333"/>
                <w:sz w:val="18"/>
                <w:szCs w:val="18"/>
              </w:rPr>
              <w:t>Finland</w:t>
            </w:r>
          </w:p>
        </w:tc>
        <w:tc>
          <w:tcPr>
            <w:tcW w:w="23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E8FDF" w14:textId="77777777" w:rsidR="00AA5291" w:rsidRDefault="00000000" w:rsidP="009C6A5C">
            <w:pPr>
              <w:jc w:val="center"/>
            </w:pPr>
            <w:r>
              <w:rPr>
                <w:color w:val="333333"/>
                <w:sz w:val="18"/>
                <w:szCs w:val="18"/>
              </w:rPr>
              <w:t>District heating integration</w:t>
            </w:r>
          </w:p>
        </w:tc>
        <w:tc>
          <w:tcPr>
            <w:tcW w:w="46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22DA9" w14:textId="77777777" w:rsidR="00AA5291" w:rsidRDefault="00000000" w:rsidP="009C6A5C">
            <w:pPr>
              <w:jc w:val="center"/>
            </w:pPr>
            <w:r>
              <w:rPr>
                <w:color w:val="333333"/>
                <w:sz w:val="18"/>
                <w:szCs w:val="18"/>
              </w:rPr>
              <w:t>Microsoft Espoo project sets precedent. Bio-foundry co-location extends this to industrial use.</w:t>
            </w:r>
          </w:p>
        </w:tc>
      </w:tr>
      <w:tr w:rsidR="00AA5291" w14:paraId="2326368D" w14:textId="77777777" w:rsidTr="009C6A5C">
        <w:tblPrEx>
          <w:tblCellMar>
            <w:top w:w="0" w:type="dxa"/>
            <w:bottom w:w="0" w:type="dxa"/>
          </w:tblCellMar>
        </w:tblPrEx>
        <w:trPr>
          <w:trHeight w:val="492"/>
        </w:trPr>
        <w:tc>
          <w:tcPr>
            <w:tcW w:w="2341"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6C17E9" w14:textId="77777777" w:rsidR="00AA5291" w:rsidRDefault="00000000" w:rsidP="009C6A5C">
            <w:pPr>
              <w:jc w:val="center"/>
            </w:pPr>
            <w:r>
              <w:rPr>
                <w:color w:val="333333"/>
                <w:sz w:val="18"/>
                <w:szCs w:val="18"/>
              </w:rPr>
              <w:t>Denmark</w:t>
            </w:r>
          </w:p>
        </w:tc>
        <w:tc>
          <w:tcPr>
            <w:tcW w:w="2341"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DE0749" w14:textId="77777777" w:rsidR="00AA5291" w:rsidRDefault="00000000" w:rsidP="009C6A5C">
            <w:pPr>
              <w:jc w:val="center"/>
            </w:pPr>
            <w:r>
              <w:rPr>
                <w:color w:val="333333"/>
                <w:sz w:val="18"/>
                <w:szCs w:val="18"/>
              </w:rPr>
              <w:t>VEKS partnership model</w:t>
            </w:r>
          </w:p>
        </w:tc>
        <w:tc>
          <w:tcPr>
            <w:tcW w:w="468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CA337D" w14:textId="77777777" w:rsidR="00AA5291" w:rsidRDefault="00000000" w:rsidP="009C6A5C">
            <w:pPr>
              <w:jc w:val="center"/>
            </w:pPr>
            <w:r>
              <w:rPr>
                <w:color w:val="333333"/>
                <w:sz w:val="18"/>
                <w:szCs w:val="18"/>
              </w:rPr>
              <w:t>Microsoft already delivering heat to Copenhagen area. Bio-foundry adds higher-value industrial customer.</w:t>
            </w:r>
          </w:p>
        </w:tc>
      </w:tr>
      <w:tr w:rsidR="00AA5291" w14:paraId="6CEF09DE" w14:textId="77777777" w:rsidTr="009C6A5C">
        <w:tblPrEx>
          <w:tblCellMar>
            <w:top w:w="0" w:type="dxa"/>
            <w:bottom w:w="0" w:type="dxa"/>
          </w:tblCellMar>
        </w:tblPrEx>
        <w:trPr>
          <w:trHeight w:val="502"/>
        </w:trPr>
        <w:tc>
          <w:tcPr>
            <w:tcW w:w="23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787AF" w14:textId="77777777" w:rsidR="00AA5291" w:rsidRDefault="00000000" w:rsidP="009C6A5C">
            <w:pPr>
              <w:jc w:val="center"/>
            </w:pPr>
            <w:r>
              <w:rPr>
                <w:color w:val="333333"/>
                <w:sz w:val="18"/>
                <w:szCs w:val="18"/>
              </w:rPr>
              <w:t>United States</w:t>
            </w:r>
          </w:p>
        </w:tc>
        <w:tc>
          <w:tcPr>
            <w:tcW w:w="23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CEA7E" w14:textId="77777777" w:rsidR="00AA5291" w:rsidRDefault="00000000" w:rsidP="009C6A5C">
            <w:pPr>
              <w:jc w:val="center"/>
            </w:pPr>
            <w:r>
              <w:rPr>
                <w:color w:val="333333"/>
                <w:sz w:val="18"/>
                <w:szCs w:val="18"/>
              </w:rPr>
              <w:t>White House Executive Order (2023)</w:t>
            </w:r>
          </w:p>
        </w:tc>
        <w:tc>
          <w:tcPr>
            <w:tcW w:w="46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C93CD" w14:textId="77777777" w:rsidR="00AA5291" w:rsidRDefault="00000000" w:rsidP="009C6A5C">
            <w:pPr>
              <w:jc w:val="center"/>
            </w:pPr>
            <w:r>
              <w:rPr>
                <w:color w:val="333333"/>
                <w:sz w:val="18"/>
                <w:szCs w:val="18"/>
              </w:rPr>
              <w:t>Federal DCs must submit waste heat utilization plans. Bio-foundry partnership provides a concrete plan.</w:t>
            </w:r>
          </w:p>
        </w:tc>
      </w:tr>
    </w:tbl>
    <w:p w14:paraId="68C5404E" w14:textId="77777777" w:rsidR="007F57DF" w:rsidRDefault="007F57DF" w:rsidP="007F57DF">
      <w:pPr>
        <w:jc w:val="both"/>
        <w:rPr>
          <w:b/>
          <w:bCs/>
          <w:color w:val="0078D4"/>
          <w:sz w:val="36"/>
          <w:szCs w:val="36"/>
        </w:rPr>
      </w:pPr>
    </w:p>
    <w:p w14:paraId="10FFC69A" w14:textId="7A389BFD" w:rsidR="00AA5291" w:rsidRDefault="00000000" w:rsidP="007F57DF">
      <w:pPr>
        <w:jc w:val="both"/>
      </w:pPr>
      <w:r>
        <w:rPr>
          <w:b/>
          <w:bCs/>
          <w:color w:val="0078D4"/>
          <w:sz w:val="36"/>
          <w:szCs w:val="36"/>
        </w:rPr>
        <w:t>8.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744"/>
        <w:gridCol w:w="3744"/>
      </w:tblGrid>
      <w:tr w:rsidR="00AA5291" w14:paraId="07D51A91"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3F72B6D8" w14:textId="77777777" w:rsidR="00AA5291" w:rsidRPr="009C6A5C" w:rsidRDefault="00000000" w:rsidP="009C6A5C">
            <w:pPr>
              <w:jc w:val="center"/>
              <w:rPr>
                <w:sz w:val="24"/>
                <w:szCs w:val="24"/>
              </w:rPr>
            </w:pPr>
            <w:r w:rsidRPr="009C6A5C">
              <w:rPr>
                <w:b/>
                <w:bCs/>
                <w:color w:val="FFFFFF"/>
                <w:sz w:val="24"/>
                <w:szCs w:val="24"/>
              </w:rPr>
              <w:t>Risk</w:t>
            </w:r>
          </w:p>
        </w:tc>
        <w:tc>
          <w:tcPr>
            <w:tcW w:w="3744"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2EDD5F73" w14:textId="77777777" w:rsidR="00AA5291" w:rsidRPr="009C6A5C" w:rsidRDefault="00000000" w:rsidP="009C6A5C">
            <w:pPr>
              <w:jc w:val="center"/>
              <w:rPr>
                <w:sz w:val="24"/>
                <w:szCs w:val="24"/>
              </w:rPr>
            </w:pPr>
            <w:r w:rsidRPr="009C6A5C">
              <w:rPr>
                <w:b/>
                <w:bCs/>
                <w:color w:val="FFFFFF"/>
                <w:sz w:val="24"/>
                <w:szCs w:val="24"/>
              </w:rPr>
              <w:t>Description</w:t>
            </w:r>
          </w:p>
        </w:tc>
        <w:tc>
          <w:tcPr>
            <w:tcW w:w="3744" w:type="dxa"/>
            <w:tcBorders>
              <w:top w:val="single" w:sz="1" w:space="0" w:color="CCCCCC"/>
              <w:left w:val="single" w:sz="1" w:space="0" w:color="CCCCCC"/>
              <w:bottom w:val="single" w:sz="1" w:space="0" w:color="CCCCCC"/>
              <w:right w:val="single" w:sz="1" w:space="0" w:color="CCCCCC"/>
            </w:tcBorders>
            <w:shd w:val="clear" w:color="auto" w:fill="1B1B1B"/>
            <w:tcMar>
              <w:top w:w="80" w:type="dxa"/>
              <w:left w:w="120" w:type="dxa"/>
              <w:bottom w:w="80" w:type="dxa"/>
              <w:right w:w="120" w:type="dxa"/>
            </w:tcMar>
          </w:tcPr>
          <w:p w14:paraId="7DA39697" w14:textId="77777777" w:rsidR="00AA5291" w:rsidRPr="009C6A5C" w:rsidRDefault="00000000" w:rsidP="009C6A5C">
            <w:pPr>
              <w:jc w:val="center"/>
              <w:rPr>
                <w:sz w:val="24"/>
                <w:szCs w:val="24"/>
              </w:rPr>
            </w:pPr>
            <w:r w:rsidRPr="009C6A5C">
              <w:rPr>
                <w:b/>
                <w:bCs/>
                <w:color w:val="FFFFFF"/>
                <w:sz w:val="24"/>
                <w:szCs w:val="24"/>
              </w:rPr>
              <w:t>Mitigation</w:t>
            </w:r>
          </w:p>
        </w:tc>
      </w:tr>
      <w:tr w:rsidR="00AA5291" w14:paraId="0BCB891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8DBF5" w14:textId="77777777" w:rsidR="00AA5291" w:rsidRDefault="00000000" w:rsidP="009C6A5C">
            <w:pPr>
              <w:jc w:val="center"/>
            </w:pPr>
            <w:r>
              <w:rPr>
                <w:b/>
                <w:bCs/>
                <w:color w:val="333333"/>
                <w:sz w:val="18"/>
                <w:szCs w:val="18"/>
              </w:rPr>
              <w:t>IT cooling priority</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B1114" w14:textId="77777777" w:rsidR="00AA5291" w:rsidRDefault="00000000" w:rsidP="009C6A5C">
            <w:pPr>
              <w:jc w:val="center"/>
            </w:pPr>
            <w:r>
              <w:rPr>
                <w:color w:val="333333"/>
                <w:sz w:val="18"/>
                <w:szCs w:val="18"/>
              </w:rPr>
              <w:t>If heat exchange fails, DC cooling must not be compromised</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B2C9D" w14:textId="77777777" w:rsidR="00AA5291" w:rsidRDefault="00000000" w:rsidP="009C6A5C">
            <w:pPr>
              <w:jc w:val="center"/>
            </w:pPr>
            <w:r>
              <w:rPr>
                <w:color w:val="333333"/>
                <w:sz w:val="18"/>
                <w:szCs w:val="18"/>
              </w:rPr>
              <w:t>Redundant bypass valves. Bio-foundry heat loop is secondary; DC can dump to cooling towers instantly if exchange fails.</w:t>
            </w:r>
          </w:p>
        </w:tc>
      </w:tr>
      <w:tr w:rsidR="00AA5291" w14:paraId="69B5ED7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56C2D2" w14:textId="77777777" w:rsidR="00AA5291" w:rsidRDefault="00000000" w:rsidP="009C6A5C">
            <w:pPr>
              <w:jc w:val="center"/>
            </w:pPr>
            <w:r>
              <w:rPr>
                <w:b/>
                <w:bCs/>
                <w:color w:val="333333"/>
                <w:sz w:val="18"/>
                <w:szCs w:val="18"/>
              </w:rPr>
              <w:t>Thermal mismatch</w:t>
            </w:r>
          </w:p>
        </w:tc>
        <w:tc>
          <w:tcPr>
            <w:tcW w:w="3744"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7CC41D" w14:textId="77777777" w:rsidR="00AA5291" w:rsidRDefault="00000000" w:rsidP="009C6A5C">
            <w:pPr>
              <w:jc w:val="center"/>
            </w:pPr>
            <w:r>
              <w:rPr>
                <w:color w:val="333333"/>
                <w:sz w:val="18"/>
                <w:szCs w:val="18"/>
              </w:rPr>
              <w:t>Bio-foundry demand may not match DC heat output at all times</w:t>
            </w:r>
          </w:p>
        </w:tc>
        <w:tc>
          <w:tcPr>
            <w:tcW w:w="3744"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7C4D80" w14:textId="77777777" w:rsidR="00AA5291" w:rsidRDefault="00000000" w:rsidP="009C6A5C">
            <w:pPr>
              <w:jc w:val="center"/>
            </w:pPr>
            <w:r>
              <w:rPr>
                <w:color w:val="333333"/>
                <w:sz w:val="18"/>
                <w:szCs w:val="18"/>
              </w:rPr>
              <w:t>Thermal buffer tanks (MWh-scale) smooth mismatches. DCs run 24/7; fermentation batches run 72–120 hrs — both are inherently baseload.</w:t>
            </w:r>
          </w:p>
        </w:tc>
      </w:tr>
      <w:tr w:rsidR="00AA5291" w14:paraId="4A5676F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47A8D" w14:textId="77777777" w:rsidR="00AA5291" w:rsidRDefault="00000000" w:rsidP="009C6A5C">
            <w:pPr>
              <w:jc w:val="center"/>
            </w:pPr>
            <w:r>
              <w:rPr>
                <w:b/>
                <w:bCs/>
                <w:color w:val="333333"/>
                <w:sz w:val="18"/>
                <w:szCs w:val="18"/>
              </w:rPr>
              <w:t>Contamination risk</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E3828" w14:textId="77777777" w:rsidR="00AA5291" w:rsidRDefault="00000000" w:rsidP="009C6A5C">
            <w:pPr>
              <w:jc w:val="center"/>
            </w:pPr>
            <w:r>
              <w:rPr>
                <w:color w:val="333333"/>
                <w:sz w:val="18"/>
                <w:szCs w:val="18"/>
              </w:rPr>
              <w:t>Shared water/thermal loops could cross-contaminate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D3491" w14:textId="77777777" w:rsidR="00AA5291" w:rsidRDefault="00000000" w:rsidP="009C6A5C">
            <w:pPr>
              <w:jc w:val="center"/>
            </w:pPr>
            <w:r>
              <w:rPr>
                <w:color w:val="333333"/>
                <w:sz w:val="18"/>
                <w:szCs w:val="18"/>
              </w:rPr>
              <w:t>Heat exchange via plate exchangers — no fluid mixing. DC cooling loop and bio-foundry process water remain physically separated.</w:t>
            </w:r>
          </w:p>
        </w:tc>
      </w:tr>
      <w:tr w:rsidR="00AA5291" w14:paraId="42B823C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1DD457" w14:textId="77777777" w:rsidR="00AA5291" w:rsidRDefault="00000000" w:rsidP="009C6A5C">
            <w:pPr>
              <w:jc w:val="center"/>
            </w:pPr>
            <w:r>
              <w:rPr>
                <w:b/>
                <w:bCs/>
                <w:color w:val="333333"/>
                <w:sz w:val="18"/>
                <w:szCs w:val="18"/>
              </w:rPr>
              <w:t>Regulatory complexity</w:t>
            </w:r>
          </w:p>
        </w:tc>
        <w:tc>
          <w:tcPr>
            <w:tcW w:w="3744"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67F0CF" w14:textId="77777777" w:rsidR="00AA5291" w:rsidRDefault="00000000" w:rsidP="009C6A5C">
            <w:pPr>
              <w:jc w:val="center"/>
            </w:pPr>
            <w:r>
              <w:rPr>
                <w:color w:val="333333"/>
                <w:sz w:val="18"/>
                <w:szCs w:val="18"/>
              </w:rPr>
              <w:t>Industrial heat sale may face different regulations than district heating</w:t>
            </w:r>
          </w:p>
        </w:tc>
        <w:tc>
          <w:tcPr>
            <w:tcW w:w="3744"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8E21EC" w14:textId="77777777" w:rsidR="00AA5291" w:rsidRDefault="00000000" w:rsidP="009C6A5C">
            <w:pPr>
              <w:jc w:val="center"/>
            </w:pPr>
            <w:r>
              <w:rPr>
                <w:color w:val="333333"/>
                <w:sz w:val="18"/>
                <w:szCs w:val="18"/>
              </w:rPr>
              <w:t>Structure as B2B thermal PPA, not utility. Engage local regulators early in Phase 0 feasibility.</w:t>
            </w:r>
          </w:p>
        </w:tc>
      </w:tr>
      <w:tr w:rsidR="00AA5291" w14:paraId="0D01ED0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1DA0B" w14:textId="77777777" w:rsidR="00AA5291" w:rsidRDefault="00000000" w:rsidP="009C6A5C">
            <w:pPr>
              <w:jc w:val="center"/>
            </w:pPr>
            <w:r>
              <w:rPr>
                <w:b/>
                <w:bCs/>
                <w:color w:val="333333"/>
                <w:sz w:val="18"/>
                <w:szCs w:val="18"/>
              </w:rPr>
              <w:t>Lease term mismatch</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6B3C8" w14:textId="77777777" w:rsidR="00AA5291" w:rsidRDefault="00000000" w:rsidP="009C6A5C">
            <w:pPr>
              <w:jc w:val="center"/>
            </w:pPr>
            <w:r>
              <w:rPr>
                <w:color w:val="333333"/>
                <w:sz w:val="18"/>
                <w:szCs w:val="18"/>
              </w:rPr>
              <w:t>DCs have 20–</w:t>
            </w:r>
            <w:proofErr w:type="gramStart"/>
            <w:r>
              <w:rPr>
                <w:color w:val="333333"/>
                <w:sz w:val="18"/>
                <w:szCs w:val="18"/>
              </w:rPr>
              <w:t>30 year</w:t>
            </w:r>
            <w:proofErr w:type="gramEnd"/>
            <w:r>
              <w:rPr>
                <w:color w:val="333333"/>
                <w:sz w:val="18"/>
                <w:szCs w:val="18"/>
              </w:rPr>
              <w:t xml:space="preserve"> lifecycles; bio-foundry leases may be shorter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BED0D" w14:textId="77777777" w:rsidR="00AA5291" w:rsidRDefault="00000000" w:rsidP="009C6A5C">
            <w:pPr>
              <w:jc w:val="center"/>
            </w:pPr>
            <w:r>
              <w:rPr>
                <w:color w:val="333333"/>
                <w:sz w:val="18"/>
                <w:szCs w:val="18"/>
              </w:rPr>
              <w:t>Anchor bio-foundry as co-investor in campus infrastructure. 10–</w:t>
            </w:r>
            <w:proofErr w:type="gramStart"/>
            <w:r>
              <w:rPr>
                <w:color w:val="333333"/>
                <w:sz w:val="18"/>
                <w:szCs w:val="18"/>
              </w:rPr>
              <w:t>20 year</w:t>
            </w:r>
            <w:proofErr w:type="gramEnd"/>
            <w:r>
              <w:rPr>
                <w:color w:val="333333"/>
                <w:sz w:val="18"/>
                <w:szCs w:val="18"/>
              </w:rPr>
              <w:t xml:space="preserve"> thermal PPA with break clauses.</w:t>
            </w:r>
          </w:p>
        </w:tc>
      </w:tr>
      <w:tr w:rsidR="00AA5291" w14:paraId="1311CA2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F00A0E" w14:textId="77777777" w:rsidR="00AA5291" w:rsidRDefault="00000000" w:rsidP="009C6A5C">
            <w:pPr>
              <w:jc w:val="center"/>
            </w:pPr>
            <w:r>
              <w:rPr>
                <w:b/>
                <w:bCs/>
                <w:color w:val="333333"/>
                <w:sz w:val="18"/>
                <w:szCs w:val="18"/>
              </w:rPr>
              <w:t>Bio-foundry scale</w:t>
            </w:r>
          </w:p>
        </w:tc>
        <w:tc>
          <w:tcPr>
            <w:tcW w:w="3744"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BE7801" w14:textId="77777777" w:rsidR="00AA5291" w:rsidRDefault="00000000" w:rsidP="009C6A5C">
            <w:pPr>
              <w:jc w:val="center"/>
            </w:pPr>
            <w:r>
              <w:rPr>
                <w:color w:val="333333"/>
                <w:sz w:val="18"/>
                <w:szCs w:val="18"/>
              </w:rPr>
              <w:t>Current PF industry may not consume enough heat to justify infrastructure</w:t>
            </w:r>
          </w:p>
        </w:tc>
        <w:tc>
          <w:tcPr>
            <w:tcW w:w="3744"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0E8BB0" w14:textId="77777777" w:rsidR="00AA5291" w:rsidRDefault="00000000" w:rsidP="009C6A5C">
            <w:pPr>
              <w:jc w:val="center"/>
            </w:pPr>
            <w:r>
              <w:rPr>
                <w:color w:val="333333"/>
                <w:sz w:val="18"/>
                <w:szCs w:val="18"/>
              </w:rPr>
              <w:t>PF bioreactor market growing at 29.5% CAGR. Start pilot now; scale as industry grows. Campus can serve multiple bio-foundry tenants.</w:t>
            </w:r>
          </w:p>
        </w:tc>
      </w:tr>
    </w:tbl>
    <w:p w14:paraId="2C855DF6" w14:textId="77777777" w:rsidR="00AA5291" w:rsidRDefault="00000000" w:rsidP="009C6A5C">
      <w:pPr>
        <w:jc w:val="both"/>
      </w:pPr>
      <w:r>
        <w:br w:type="page"/>
      </w:r>
    </w:p>
    <w:p w14:paraId="137282C2" w14:textId="77777777" w:rsidR="00AA5291" w:rsidRDefault="00000000" w:rsidP="009C6A5C">
      <w:pPr>
        <w:pStyle w:val="Heading1"/>
        <w:jc w:val="both"/>
      </w:pPr>
      <w:r>
        <w:t>9. Conclusion</w:t>
      </w:r>
    </w:p>
    <w:p w14:paraId="2B0EFE88" w14:textId="592FE2B5" w:rsidR="00AA5291" w:rsidRDefault="00000000" w:rsidP="009C6A5C">
      <w:pPr>
        <w:spacing w:after="120"/>
        <w:jc w:val="both"/>
      </w:pPr>
      <w:r>
        <w:rPr>
          <w:color w:val="333333"/>
        </w:rPr>
        <w:t>Every hyper</w:t>
      </w:r>
      <w:r w:rsidR="009C6A5C">
        <w:rPr>
          <w:color w:val="333333"/>
        </w:rPr>
        <w:t>-</w:t>
      </w:r>
      <w:r>
        <w:rPr>
          <w:color w:val="333333"/>
        </w:rPr>
        <w:t>scaler is now investing in waste heat recovery. The default path — district heating for homes — is a low-value, seasonal, infrastructure-heavy application that requires expensive heat pumps and kilo</w:t>
      </w:r>
      <w:r w:rsidR="009C6A5C">
        <w:rPr>
          <w:color w:val="333333"/>
        </w:rPr>
        <w:t xml:space="preserve"> </w:t>
      </w:r>
      <w:r>
        <w:rPr>
          <w:color w:val="333333"/>
        </w:rPr>
        <w:t>meters of piping.</w:t>
      </w:r>
    </w:p>
    <w:p w14:paraId="794767C4" w14:textId="77777777" w:rsidR="00AA5291" w:rsidRDefault="00000000" w:rsidP="009C6A5C">
      <w:pPr>
        <w:spacing w:after="120"/>
        <w:jc w:val="both"/>
      </w:pPr>
      <w:r>
        <w:rPr>
          <w:color w:val="333333"/>
        </w:rPr>
        <w:t>Bio-foundries are the opposite: they need heat at exactly the temperature data centers produce it, they operate 24/7/365, they co-locate naturally in rural/suburban industrial zones, and they create a compute dependency that turns a commodity heat sale into a platform relationship.</w:t>
      </w:r>
    </w:p>
    <w:p w14:paraId="4364CB88" w14:textId="77777777" w:rsidR="00AA5291" w:rsidRDefault="00000000" w:rsidP="009C6A5C">
      <w:pPr>
        <w:spacing w:after="120"/>
        <w:jc w:val="both"/>
      </w:pPr>
      <w:r>
        <w:rPr>
          <w:color w:val="333333"/>
        </w:rPr>
        <w:t>The regulatory window is open: Germany’s EnEfG mandates begin July 2026. The technology is ready: liquid-cooled GPUs produce 45–50°C water that bioreactors need at 30–40°C. The market is growing: precision fermentation bioreactors are a $580M market growing at 29.5% CAGR.</w:t>
      </w:r>
    </w:p>
    <w:p w14:paraId="0CE0E7AB" w14:textId="77777777" w:rsidR="00AA5291" w:rsidRDefault="00000000" w:rsidP="009C6A5C">
      <w:pPr>
        <w:spacing w:after="120"/>
        <w:jc w:val="both"/>
      </w:pPr>
      <w:r>
        <w:rPr>
          <w:color w:val="333333"/>
        </w:rPr>
        <w:t>The question is not whether this convergence will happen. It’s who builds the first Circular Tech Park — and captures the blueprint for the next fifty.</w:t>
      </w:r>
    </w:p>
    <w:p w14:paraId="2B2434A2" w14:textId="77777777" w:rsidR="00AA5291" w:rsidRDefault="00000000" w:rsidP="009C6A5C">
      <w:pPr>
        <w:pBdr>
          <w:top w:val="single" w:sz="4" w:space="1" w:color="0078D4"/>
        </w:pBdr>
        <w:spacing w:before="400"/>
        <w:jc w:val="both"/>
      </w:pPr>
      <w:r>
        <w:rPr>
          <w:i/>
          <w:iCs/>
          <w:color w:val="999999"/>
          <w:sz w:val="20"/>
          <w:szCs w:val="20"/>
        </w:rPr>
        <w:t>End of case study</w:t>
      </w:r>
    </w:p>
    <w:sectPr w:rsidR="00AA529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CC441" w14:textId="77777777" w:rsidR="00813856" w:rsidRDefault="00813856">
      <w:r>
        <w:separator/>
      </w:r>
    </w:p>
  </w:endnote>
  <w:endnote w:type="continuationSeparator" w:id="0">
    <w:p w14:paraId="10D45969" w14:textId="77777777" w:rsidR="00813856" w:rsidRDefault="00813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79CF" w14:textId="77777777" w:rsidR="00AA529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C6A5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4C6F" w14:textId="77777777" w:rsidR="00813856" w:rsidRDefault="00813856">
      <w:r>
        <w:separator/>
      </w:r>
    </w:p>
  </w:footnote>
  <w:footnote w:type="continuationSeparator" w:id="0">
    <w:p w14:paraId="15DB10E2" w14:textId="77777777" w:rsidR="00813856" w:rsidRDefault="008138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CC25" w14:textId="77777777" w:rsidR="00AA5291" w:rsidRDefault="00000000">
    <w:pPr>
      <w:jc w:val="right"/>
    </w:pPr>
    <w:r>
      <w:rPr>
        <w:i/>
        <w:iCs/>
        <w:color w:val="999999"/>
        <w:sz w:val="16"/>
        <w:szCs w:val="16"/>
      </w:rPr>
      <w:t>Bio-Azure Circular Symbiosis — Data Center × Bio-Foundry Heat Integration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7CC"/>
    <w:multiLevelType w:val="hybridMultilevel"/>
    <w:tmpl w:val="19400400"/>
    <w:lvl w:ilvl="0" w:tplc="BC20A1C4">
      <w:start w:val="1"/>
      <w:numFmt w:val="bullet"/>
      <w:lvlText w:val="•"/>
      <w:lvlJc w:val="left"/>
      <w:pPr>
        <w:ind w:left="720" w:hanging="360"/>
      </w:pPr>
    </w:lvl>
    <w:lvl w:ilvl="1" w:tplc="705E26D6">
      <w:numFmt w:val="decimal"/>
      <w:lvlText w:val=""/>
      <w:lvlJc w:val="left"/>
    </w:lvl>
    <w:lvl w:ilvl="2" w:tplc="362814A4">
      <w:numFmt w:val="decimal"/>
      <w:lvlText w:val=""/>
      <w:lvlJc w:val="left"/>
    </w:lvl>
    <w:lvl w:ilvl="3" w:tplc="53963604">
      <w:numFmt w:val="decimal"/>
      <w:lvlText w:val=""/>
      <w:lvlJc w:val="left"/>
    </w:lvl>
    <w:lvl w:ilvl="4" w:tplc="966AF1D6">
      <w:numFmt w:val="decimal"/>
      <w:lvlText w:val=""/>
      <w:lvlJc w:val="left"/>
    </w:lvl>
    <w:lvl w:ilvl="5" w:tplc="4FFAAE36">
      <w:numFmt w:val="decimal"/>
      <w:lvlText w:val=""/>
      <w:lvlJc w:val="left"/>
    </w:lvl>
    <w:lvl w:ilvl="6" w:tplc="DEFC1B36">
      <w:numFmt w:val="decimal"/>
      <w:lvlText w:val=""/>
      <w:lvlJc w:val="left"/>
    </w:lvl>
    <w:lvl w:ilvl="7" w:tplc="4D1E08B6">
      <w:numFmt w:val="decimal"/>
      <w:lvlText w:val=""/>
      <w:lvlJc w:val="left"/>
    </w:lvl>
    <w:lvl w:ilvl="8" w:tplc="8CF89F1E">
      <w:numFmt w:val="decimal"/>
      <w:lvlText w:val=""/>
      <w:lvlJc w:val="left"/>
    </w:lvl>
  </w:abstractNum>
  <w:abstractNum w:abstractNumId="1" w15:restartNumberingAfterBreak="0">
    <w:nsid w:val="39CC75D5"/>
    <w:multiLevelType w:val="hybridMultilevel"/>
    <w:tmpl w:val="71369294"/>
    <w:lvl w:ilvl="0" w:tplc="B06CC856">
      <w:start w:val="1"/>
      <w:numFmt w:val="bullet"/>
      <w:lvlText w:val="●"/>
      <w:lvlJc w:val="left"/>
      <w:pPr>
        <w:ind w:left="720" w:hanging="360"/>
      </w:pPr>
    </w:lvl>
    <w:lvl w:ilvl="1" w:tplc="19509390">
      <w:start w:val="1"/>
      <w:numFmt w:val="bullet"/>
      <w:lvlText w:val="○"/>
      <w:lvlJc w:val="left"/>
      <w:pPr>
        <w:ind w:left="1440" w:hanging="360"/>
      </w:pPr>
    </w:lvl>
    <w:lvl w:ilvl="2" w:tplc="716CD94A">
      <w:start w:val="1"/>
      <w:numFmt w:val="bullet"/>
      <w:lvlText w:val="■"/>
      <w:lvlJc w:val="left"/>
      <w:pPr>
        <w:ind w:left="2160" w:hanging="360"/>
      </w:pPr>
    </w:lvl>
    <w:lvl w:ilvl="3" w:tplc="9C2009B4">
      <w:start w:val="1"/>
      <w:numFmt w:val="bullet"/>
      <w:lvlText w:val="●"/>
      <w:lvlJc w:val="left"/>
      <w:pPr>
        <w:ind w:left="2880" w:hanging="360"/>
      </w:pPr>
    </w:lvl>
    <w:lvl w:ilvl="4" w:tplc="97AC0BA4">
      <w:start w:val="1"/>
      <w:numFmt w:val="bullet"/>
      <w:lvlText w:val="○"/>
      <w:lvlJc w:val="left"/>
      <w:pPr>
        <w:ind w:left="3600" w:hanging="360"/>
      </w:pPr>
    </w:lvl>
    <w:lvl w:ilvl="5" w:tplc="0E7C066A">
      <w:start w:val="1"/>
      <w:numFmt w:val="bullet"/>
      <w:lvlText w:val="■"/>
      <w:lvlJc w:val="left"/>
      <w:pPr>
        <w:ind w:left="4320" w:hanging="360"/>
      </w:pPr>
    </w:lvl>
    <w:lvl w:ilvl="6" w:tplc="63DE94CE">
      <w:start w:val="1"/>
      <w:numFmt w:val="bullet"/>
      <w:lvlText w:val="●"/>
      <w:lvlJc w:val="left"/>
      <w:pPr>
        <w:ind w:left="5040" w:hanging="360"/>
      </w:pPr>
    </w:lvl>
    <w:lvl w:ilvl="7" w:tplc="2D14B62C">
      <w:start w:val="1"/>
      <w:numFmt w:val="bullet"/>
      <w:lvlText w:val="●"/>
      <w:lvlJc w:val="left"/>
      <w:pPr>
        <w:ind w:left="5760" w:hanging="360"/>
      </w:pPr>
    </w:lvl>
    <w:lvl w:ilvl="8" w:tplc="4BD0D1A0">
      <w:start w:val="1"/>
      <w:numFmt w:val="bullet"/>
      <w:lvlText w:val="●"/>
      <w:lvlJc w:val="left"/>
      <w:pPr>
        <w:ind w:left="6480" w:hanging="360"/>
      </w:pPr>
    </w:lvl>
  </w:abstractNum>
  <w:num w:numId="1" w16cid:durableId="9657422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291"/>
    <w:rsid w:val="003244AE"/>
    <w:rsid w:val="007F57DF"/>
    <w:rsid w:val="00813856"/>
    <w:rsid w:val="009C6A5C"/>
    <w:rsid w:val="00AA52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DF85"/>
  <w15:docId w15:val="{282495C1-7648-4C4F-83C9-0C7D991E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78D4"/>
      <w:sz w:val="36"/>
      <w:szCs w:val="36"/>
    </w:rPr>
  </w:style>
  <w:style w:type="paragraph" w:styleId="Heading2">
    <w:name w:val="heading 2"/>
    <w:uiPriority w:val="9"/>
    <w:unhideWhenUsed/>
    <w:qFormat/>
    <w:pPr>
      <w:spacing w:before="240" w:after="120"/>
      <w:outlineLvl w:val="1"/>
    </w:pPr>
    <w:rPr>
      <w:b/>
      <w:bCs/>
      <w:color w:val="1B1B1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2167</Words>
  <Characters>12353</Characters>
  <Application>Microsoft Office Word</Application>
  <DocSecurity>0</DocSecurity>
  <Lines>102</Lines>
  <Paragraphs>28</Paragraphs>
  <ScaleCrop>false</ScaleCrop>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Pandey</cp:lastModifiedBy>
  <cp:revision>3</cp:revision>
  <dcterms:created xsi:type="dcterms:W3CDTF">2026-03-16T14:28:00Z</dcterms:created>
  <dcterms:modified xsi:type="dcterms:W3CDTF">2026-03-16T14:49:00Z</dcterms:modified>
</cp:coreProperties>
</file>