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0C52" w:rsidRDefault="00000000">
      <w:pPr>
        <w:pBdr>
          <w:bottom w:val="single" w:sz="6" w:space="6" w:color="1A7A4A"/>
        </w:pBdr>
        <w:spacing w:before="400"/>
      </w:pPr>
      <w:r>
        <w:rPr>
          <w:b/>
          <w:bCs/>
          <w:color w:val="0F5233"/>
          <w:sz w:val="42"/>
          <w:szCs w:val="42"/>
        </w:rPr>
        <w:t>CANOPY</w:t>
      </w:r>
    </w:p>
    <w:p w:rsidR="00F90C52" w:rsidRDefault="00000000">
      <w:pPr>
        <w:spacing w:before="140" w:after="40"/>
      </w:pPr>
      <w:r>
        <w:rPr>
          <w:sz w:val="31"/>
          <w:szCs w:val="31"/>
        </w:rPr>
        <w:t>Scoring Methodology &amp; Provenance</w:t>
      </w:r>
    </w:p>
    <w:p w:rsidR="00F90C52" w:rsidRDefault="00000000">
      <w:pPr>
        <w:spacing w:after="120" w:line="276" w:lineRule="auto"/>
      </w:pPr>
      <w:r>
        <w:rPr>
          <w:color w:val="1A7A4A"/>
          <w:sz w:val="22"/>
          <w:szCs w:val="22"/>
        </w:rPr>
        <w:t>Every score traced to a published, documented method</w:t>
      </w:r>
    </w:p>
    <w:p w:rsidR="00F90C52" w:rsidRDefault="00000000">
      <w:pPr>
        <w:spacing w:after="160"/>
      </w:pPr>
      <w:r>
        <w:rPr>
          <w:sz w:val="19"/>
          <w:szCs w:val="19"/>
        </w:rPr>
        <w:t>Luna · Geospatial Lead · Project Canopy · GCL Hackathon 2026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F90C52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E8F5E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90C52" w:rsidRDefault="00000000">
            <w:pPr>
              <w:spacing w:after="70"/>
            </w:pPr>
            <w:r>
              <w:rPr>
                <w:b/>
                <w:bCs/>
                <w:color w:val="0F5233"/>
              </w:rPr>
              <w:t>Principle</w:t>
            </w:r>
          </w:p>
          <w:p w:rsidR="00F90C52" w:rsidRDefault="00000000">
            <w:pPr>
              <w:spacing w:after="50" w:line="264" w:lineRule="auto"/>
            </w:pPr>
            <w:r>
              <w:t>Every sub-score is grounded in an open, peer-reviewed or standards-body method, with its published formula and threshold bands — which is what makes a screening output defensible to a finance or audit reader. §6 lists every metric the engine can produce, with formulas.</w:t>
            </w:r>
          </w:p>
        </w:tc>
      </w:tr>
    </w:tbl>
    <w:p w:rsidR="00F90C52" w:rsidRDefault="00000000">
      <w:pPr>
        <w:pStyle w:val="Heading1"/>
      </w:pPr>
      <w:r>
        <w:t>1 · Physical risk — Hazard × Exposure × Vulnerability</w:t>
      </w:r>
    </w:p>
    <w:p w:rsidR="00F90C52" w:rsidRDefault="00F90C52">
      <w:pPr>
        <w:pBdr>
          <w:bottom w:val="single" w:sz="6" w:space="1" w:color="1A7A4A"/>
        </w:pBdr>
        <w:spacing w:after="120"/>
      </w:pPr>
    </w:p>
    <w:p w:rsidR="00F90C52" w:rsidRDefault="00000000">
      <w:pPr>
        <w:spacing w:after="80" w:line="276" w:lineRule="auto"/>
      </w:pPr>
      <w:r>
        <w:rPr>
          <w:b/>
          <w:bCs/>
          <w:color w:val="0F5233"/>
        </w:rPr>
        <w:t xml:space="preserve">Published basis.  </w:t>
      </w:r>
      <w:r>
        <w:t>The physical-climate-risk industry (Moody's — which absorbed Four Twenty Seven in 2019 — and MSCI Climate VaR) and IPCC AR6 all use the same quantitative structure. It is more rigorous than a weighted sum, and each component has an open, respected source.</w:t>
      </w:r>
    </w:p>
    <w:p w:rsidR="00F90C52" w:rsidRDefault="00000000">
      <w:pPr>
        <w:spacing w:after="80" w:line="276" w:lineRule="auto"/>
      </w:pPr>
      <w:r>
        <w:rPr>
          <w:b/>
          <w:bCs/>
          <w:color w:val="0F5233"/>
        </w:rPr>
        <w:t xml:space="preserve">Documented formula.  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>Risk = Hazard (intensity / probability)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 xml:space="preserve">     × Exposure (assets / people in harm's way)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 xml:space="preserve">     × Vulnerability (damage function: hazard intensity -&gt; % loss)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 xml:space="preserve">     ... computed per hazard, then aggregated.</w:t>
      </w:r>
    </w:p>
    <w:p w:rsidR="00F90C52" w:rsidRDefault="00000000">
      <w:pPr>
        <w:spacing w:after="80" w:line="276" w:lineRule="auto"/>
      </w:pPr>
      <w:r>
        <w:rPr>
          <w:b/>
          <w:bCs/>
          <w:color w:val="0F5233"/>
        </w:rPr>
        <w:t xml:space="preserve">The three components and their sources:  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20"/>
        <w:gridCol w:w="3400"/>
      </w:tblGrid>
      <w:tr w:rsidR="00F90C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0F523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0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0F523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Open source we use</w:t>
            </w:r>
          </w:p>
        </w:tc>
        <w:tc>
          <w:tcPr>
            <w:tcW w:w="34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0F523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Respected / used by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Hazard</w:t>
            </w:r>
          </w:p>
        </w:tc>
        <w:tc>
          <w:tcPr>
            <w:tcW w:w="40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EO models — fire (FWI, §2), flood (§3), degradation (NDVI/change)</w:t>
            </w:r>
          </w:p>
        </w:tc>
        <w:tc>
          <w:tcPr>
            <w:tcW w:w="34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Copernicus, JRC, WRI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Exposure</w:t>
            </w:r>
          </w:p>
        </w:tc>
        <w:tc>
          <w:tcPr>
            <w:tcW w:w="40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GHSL, WorldPop, the asset footprint (the AOI)</w:t>
            </w:r>
          </w:p>
        </w:tc>
        <w:tc>
          <w:tcPr>
            <w:tcW w:w="34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EU JRC, UN, DRR &amp; climate-risk industry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Vulnerability</w:t>
            </w:r>
          </w:p>
        </w:tc>
        <w:tc>
          <w:tcPr>
            <w:tcW w:w="40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JRC/Huizinga flood depth–damage; fire = fuel presence (NDVI)</w:t>
            </w:r>
          </w:p>
        </w:tc>
        <w:tc>
          <w:tcPr>
            <w:tcW w:w="34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EU JRC — the standard global damage curves</w:t>
            </w:r>
          </w:p>
        </w:tc>
      </w:tr>
    </w:tbl>
    <w:p w:rsidR="00F90C52" w:rsidRDefault="00F90C52">
      <w:pPr>
        <w:spacing w:after="70"/>
      </w:pPr>
    </w:p>
    <w:p w:rsidR="00F90C52" w:rsidRDefault="00000000">
      <w:pPr>
        <w:spacing w:after="80" w:line="276" w:lineRule="auto"/>
      </w:pPr>
      <w:r>
        <w:rPr>
          <w:b/>
          <w:bCs/>
          <w:color w:val="0F5233"/>
        </w:rPr>
        <w:t xml:space="preserve">Two scores — the honest split.  </w:t>
      </w:r>
      <w:r>
        <w:t>Reported side by side; satellites never claim to measure socioeconomics.</w:t>
      </w:r>
    </w:p>
    <w:p w:rsidR="00F90C52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rPr>
          <w:b/>
          <w:bCs/>
          <w:color w:val="0F5233"/>
        </w:rPr>
        <w:t xml:space="preserve">Score A — Physical risk: </w:t>
      </w:r>
      <w:r>
        <w:t>EO-native — fire, flood and degradation hazards × exposure × vulnerability. Computed by the engine.</w:t>
      </w:r>
    </w:p>
    <w:p w:rsidR="00F90C52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rPr>
          <w:b/>
          <w:bCs/>
          <w:color w:val="0F5233"/>
        </w:rPr>
        <w:t xml:space="preserve">Score B — Socioeconomic: </w:t>
      </w:r>
      <w:r>
        <w:t>vulnerability and coping capacity from published indices (INFORM, ND-GAIN). A downstream overlay, not from satellites.</w:t>
      </w:r>
    </w:p>
    <w:p w:rsidR="00F90C52" w:rsidRDefault="00000000">
      <w:pPr>
        <w:spacing w:after="80" w:line="276" w:lineRule="auto"/>
      </w:pPr>
      <w:r>
        <w:rPr>
          <w:b/>
          <w:bCs/>
          <w:color w:val="0F5233"/>
        </w:rPr>
        <w:t xml:space="preserve">How we apply it.  </w:t>
      </w:r>
      <w:r>
        <w:t>We compute the physical Hazard × Exposure score from EO plus documented damage functions; the composite is presented as a transparent, adjustable screening measure.</w:t>
      </w:r>
    </w:p>
    <w:p w:rsidR="00F90C52" w:rsidRDefault="00000000">
      <w:pPr>
        <w:spacing w:before="80" w:after="130" w:line="252" w:lineRule="auto"/>
      </w:pPr>
      <w:r>
        <w:rPr>
          <w:b/>
          <w:bCs/>
          <w:color w:val="1A7A4A"/>
          <w:sz w:val="17"/>
          <w:szCs w:val="17"/>
        </w:rPr>
        <w:t xml:space="preserve">Sources: </w:t>
      </w:r>
      <w:hyperlink r:id="rId7" w:history="1">
        <w:r>
          <w:rPr>
            <w:rStyle w:val="Hyperlink"/>
            <w:sz w:val="18"/>
            <w:szCs w:val="18"/>
          </w:rPr>
          <w:t>JRC INFORM Risk Index</w:t>
        </w:r>
      </w:hyperlink>
      <w:r>
        <w:rPr>
          <w:color w:val="1A7A4A"/>
          <w:sz w:val="17"/>
          <w:szCs w:val="17"/>
        </w:rPr>
        <w:t xml:space="preserve">   ·   </w:t>
      </w:r>
      <w:hyperlink r:id="rId8" w:history="1">
        <w:r>
          <w:rPr>
            <w:rStyle w:val="Hyperlink"/>
            <w:sz w:val="18"/>
            <w:szCs w:val="18"/>
          </w:rPr>
          <w:t>JRC Global Human Settlement Layer</w:t>
        </w:r>
      </w:hyperlink>
    </w:p>
    <w:p w:rsidR="00F90C52" w:rsidRDefault="00000000">
      <w:pPr>
        <w:pStyle w:val="Heading1"/>
      </w:pPr>
      <w:r>
        <w:t>2 · Fire — risk (FFWI) and severity (dNBR)</w:t>
      </w:r>
    </w:p>
    <w:p w:rsidR="00F90C52" w:rsidRDefault="00F90C52">
      <w:pPr>
        <w:pBdr>
          <w:bottom w:val="single" w:sz="6" w:space="1" w:color="1A7A4A"/>
        </w:pBdr>
        <w:spacing w:after="120"/>
      </w:pPr>
    </w:p>
    <w:p w:rsidR="00F90C52" w:rsidRDefault="00000000">
      <w:pPr>
        <w:spacing w:after="120" w:line="276" w:lineRule="auto"/>
      </w:pPr>
      <w:r>
        <w:t>Two different questions, each with its own documented method — kept distinct.</w:t>
      </w:r>
    </w:p>
    <w:p w:rsidR="00F90C52" w:rsidRDefault="00000000">
      <w:pPr>
        <w:pStyle w:val="Heading2"/>
      </w:pPr>
      <w:r>
        <w:t>2.1 Fire risk (pre-event) — Fosberg Fire Weather Index</w:t>
      </w:r>
    </w:p>
    <w:p w:rsidR="00F90C52" w:rsidRDefault="00000000">
      <w:pPr>
        <w:spacing w:after="80" w:line="276" w:lineRule="auto"/>
      </w:pPr>
      <w:r>
        <w:rPr>
          <w:b/>
          <w:bCs/>
          <w:color w:val="0F5233"/>
        </w:rPr>
        <w:lastRenderedPageBreak/>
        <w:t xml:space="preserve">Published basis.  </w:t>
      </w:r>
      <w:r>
        <w:t>The Fosberg Fire Weather Index (FFWI, Fosberg 1978) — a peer-reviewed fire-weather index used operationally (e.g. US National Weather Service). Chosen because it is a one-shot formula from temperature, relative humidity and wind, so it is computable directly in Earth Engine — unlike the Canadian FWI, whose moisture codes need sequential day-by-day accumulation that is impractical to compute here.</w:t>
      </w:r>
    </w:p>
    <w:p w:rsidR="00F90C52" w:rsidRDefault="00000000">
      <w:pPr>
        <w:spacing w:after="80" w:line="276" w:lineRule="auto"/>
      </w:pPr>
      <w:r>
        <w:rPr>
          <w:b/>
          <w:bCs/>
          <w:color w:val="0F5233"/>
        </w:rPr>
        <w:t xml:space="preserve">Documented formula.  </w:t>
      </w:r>
      <w:r>
        <w:t>FFWI combines temperature, relative humidity and wind (ERA5-Land) via an equilibrium fuel-moisture term, then is gated by satellite fuel presence: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>RH   = Magnus(temperature_2m_max, dewpoint_2m)   # relative humidity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>m    = Fosberg equilibrium fuel moisture (piecewise in RH; temp in F)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>eta  = 1 - 2(m/30) + 1.5(m/30)^2 - 0.5(m/30)^3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>FFWI = eta * sqrt(1 + U^2) / 0.3002   # 0-100 ; U = wind (mph) ; then x fuel(NDVI)</w:t>
      </w:r>
    </w:p>
    <w:p w:rsidR="00F90C52" w:rsidRDefault="00000000">
      <w:pPr>
        <w:spacing w:after="80" w:line="276" w:lineRule="auto"/>
      </w:pPr>
      <w:r>
        <w:rPr>
          <w:b/>
          <w:bCs/>
          <w:color w:val="0F5233"/>
        </w:rPr>
        <w:t xml:space="preserve">Enrich with EO.  </w:t>
      </w:r>
      <w:r>
        <w:t>Satellite fuel-dryness (NDWI/NBR), ignition history (MODIS/VIIRS active fire), and terrain (slope). FWI is weather-driven (ERA5), so a proper fire-risk model is not pure imagery — inherent to fire risk, and exactly what Copernicus does.</w:t>
      </w:r>
    </w:p>
    <w:p w:rsidR="00F90C52" w:rsidRDefault="00000000">
      <w:pPr>
        <w:pStyle w:val="Heading2"/>
      </w:pPr>
      <w:r>
        <w:t>2.2 Fire severity (post-event) — dNBR</w:t>
      </w:r>
    </w:p>
    <w:p w:rsidR="00F90C52" w:rsidRDefault="00000000">
      <w:pPr>
        <w:spacing w:after="80" w:line="276" w:lineRule="auto"/>
      </w:pPr>
      <w:r>
        <w:rPr>
          <w:b/>
          <w:bCs/>
          <w:color w:val="0F5233"/>
        </w:rPr>
        <w:t xml:space="preserve">Documented formula.  </w:t>
      </w:r>
      <w:r>
        <w:t>NBR = (B8A − B12)/(B8A + B12).  dNBR = NBR</w:t>
      </w:r>
      <w:r>
        <w:rPr>
          <w:vertAlign w:val="subscript"/>
        </w:rPr>
        <w:t>pre</w:t>
      </w:r>
      <w:r>
        <w:t xml:space="preserve"> − NBR</w:t>
      </w:r>
      <w:r>
        <w:rPr>
          <w:vertAlign w:val="subscript"/>
        </w:rPr>
        <w:t>post</w:t>
      </w:r>
      <w:r>
        <w:t>, ×1000. Classified with the Key &amp; Benson (2006) bands (USGS FIREMON / UN-SPIDER):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0"/>
        <w:gridCol w:w="3000"/>
        <w:gridCol w:w="3000"/>
      </w:tblGrid>
      <w:tr w:rsidR="00F90C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0F523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Severity class</w:t>
            </w:r>
          </w:p>
        </w:tc>
        <w:tc>
          <w:tcPr>
            <w:tcW w:w="30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0F523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dNBR range</w:t>
            </w:r>
          </w:p>
        </w:tc>
        <w:tc>
          <w:tcPr>
            <w:tcW w:w="30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0F523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dNBR ×1000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30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Enhanced regrowth</w:t>
            </w:r>
          </w:p>
        </w:tc>
        <w:tc>
          <w:tcPr>
            <w:tcW w:w="30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&lt; −0.10</w:t>
            </w:r>
          </w:p>
        </w:tc>
        <w:tc>
          <w:tcPr>
            <w:tcW w:w="30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&lt; −100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30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Unburned</w:t>
            </w:r>
          </w:p>
        </w:tc>
        <w:tc>
          <w:tcPr>
            <w:tcW w:w="30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−0.10 – 0.10</w:t>
            </w:r>
          </w:p>
        </w:tc>
        <w:tc>
          <w:tcPr>
            <w:tcW w:w="30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−100 – 99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30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Low severity</w:t>
            </w:r>
          </w:p>
        </w:tc>
        <w:tc>
          <w:tcPr>
            <w:tcW w:w="30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0.10 – 0.27</w:t>
            </w:r>
          </w:p>
        </w:tc>
        <w:tc>
          <w:tcPr>
            <w:tcW w:w="30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100 – 269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30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Moderate-low</w:t>
            </w:r>
          </w:p>
        </w:tc>
        <w:tc>
          <w:tcPr>
            <w:tcW w:w="30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0.27 – 0.44</w:t>
            </w:r>
          </w:p>
        </w:tc>
        <w:tc>
          <w:tcPr>
            <w:tcW w:w="30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270 – 439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30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Moderate-high</w:t>
            </w:r>
          </w:p>
        </w:tc>
        <w:tc>
          <w:tcPr>
            <w:tcW w:w="30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0.44 – 0.66</w:t>
            </w:r>
          </w:p>
        </w:tc>
        <w:tc>
          <w:tcPr>
            <w:tcW w:w="30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440 – 659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30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High severity</w:t>
            </w:r>
          </w:p>
        </w:tc>
        <w:tc>
          <w:tcPr>
            <w:tcW w:w="30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0.66 – 1.30</w:t>
            </w:r>
          </w:p>
        </w:tc>
        <w:tc>
          <w:tcPr>
            <w:tcW w:w="30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660 – 1300</w:t>
            </w:r>
          </w:p>
        </w:tc>
      </w:tr>
    </w:tbl>
    <w:p w:rsidR="00F90C52" w:rsidRDefault="00000000">
      <w:pPr>
        <w:spacing w:before="80" w:after="130" w:line="252" w:lineRule="auto"/>
      </w:pPr>
      <w:r>
        <w:rPr>
          <w:b/>
          <w:bCs/>
          <w:color w:val="1A7A4A"/>
          <w:sz w:val="17"/>
          <w:szCs w:val="17"/>
        </w:rPr>
        <w:t xml:space="preserve">Sources: </w:t>
      </w:r>
      <w:hyperlink r:id="rId9" w:history="1">
        <w:r>
          <w:rPr>
            <w:rStyle w:val="Hyperlink"/>
            <w:sz w:val="18"/>
            <w:szCs w:val="18"/>
          </w:rPr>
          <w:t>Copernicus EFFIS — Fire Weather Index</w:t>
        </w:r>
      </w:hyperlink>
      <w:r>
        <w:rPr>
          <w:color w:val="1A7A4A"/>
          <w:sz w:val="17"/>
          <w:szCs w:val="17"/>
        </w:rPr>
        <w:t xml:space="preserve">   ·   </w:t>
      </w:r>
      <w:hyperlink r:id="rId10" w:history="1">
        <w:r>
          <w:rPr>
            <w:rStyle w:val="Hyperlink"/>
            <w:sz w:val="18"/>
            <w:szCs w:val="18"/>
          </w:rPr>
          <w:t>ERA5 global fire danger (Nature, 2020)</w:t>
        </w:r>
      </w:hyperlink>
      <w:r>
        <w:rPr>
          <w:color w:val="1A7A4A"/>
          <w:sz w:val="17"/>
          <w:szCs w:val="17"/>
        </w:rPr>
        <w:t xml:space="preserve">   ·   </w:t>
      </w:r>
      <w:hyperlink r:id="rId11" w:history="1">
        <w:r>
          <w:rPr>
            <w:rStyle w:val="Hyperlink"/>
            <w:sz w:val="18"/>
            <w:szCs w:val="18"/>
          </w:rPr>
          <w:t>UN-SPIDER — dNBR classes</w:t>
        </w:r>
      </w:hyperlink>
    </w:p>
    <w:p w:rsidR="00F90C52" w:rsidRDefault="00000000">
      <w:pPr>
        <w:pStyle w:val="Heading1"/>
      </w:pPr>
      <w:r>
        <w:t>3 · Flood — JRC Global Surface Water + SAR</w:t>
      </w:r>
    </w:p>
    <w:p w:rsidR="00F90C52" w:rsidRDefault="00F90C52">
      <w:pPr>
        <w:pBdr>
          <w:bottom w:val="single" w:sz="6" w:space="1" w:color="1A7A4A"/>
        </w:pBdr>
        <w:spacing w:after="120"/>
      </w:pPr>
    </w:p>
    <w:p w:rsidR="00F90C52" w:rsidRDefault="00000000">
      <w:pPr>
        <w:spacing w:after="80" w:line="276" w:lineRule="auto"/>
      </w:pPr>
      <w:r>
        <w:rPr>
          <w:b/>
          <w:bCs/>
          <w:color w:val="0F5233"/>
        </w:rPr>
        <w:t xml:space="preserve">Published basis.  </w:t>
      </w:r>
      <w:r>
        <w:t>Baseline water from the JRC Global Surface Water dataset (Pekel et al., 2016, Nature) — occurrence and seasonality since 1984. Event flooding from Sentinel-1 SAR per the UN-SPIDER Recommended Practice. Flood risk context from WRI Aqueduct.</w:t>
      </w:r>
    </w:p>
    <w:p w:rsidR="00F90C52" w:rsidRDefault="00000000">
      <w:pPr>
        <w:spacing w:after="80" w:line="276" w:lineRule="auto"/>
      </w:pPr>
      <w:r>
        <w:rPr>
          <w:b/>
          <w:bCs/>
          <w:color w:val="0F5233"/>
        </w:rPr>
        <w:t xml:space="preserve">Documented formula.  </w:t>
      </w:r>
      <w:r>
        <w:t>Sentinel-1 GRD (VV/VH, pre-calibrated). Water separated with automatic Otsu thresholding, differenced against JRC permanent water so only new flooding is flagged; depth–damage turns extent into a risk figure: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>water     = S1_VH  &lt;  otsu_threshold(S1_VH histogram)     # UN-SPIDER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>new_flood = water  AND  NOT  JRC_permanent_water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>flood_risk = new_flood_extent × exposure × depth_damage    # documented</w:t>
      </w:r>
    </w:p>
    <w:p w:rsidR="00F90C52" w:rsidRDefault="00000000">
      <w:pPr>
        <w:spacing w:before="80" w:after="130" w:line="252" w:lineRule="auto"/>
      </w:pPr>
      <w:r>
        <w:rPr>
          <w:b/>
          <w:bCs/>
          <w:color w:val="1A7A4A"/>
          <w:sz w:val="17"/>
          <w:szCs w:val="17"/>
        </w:rPr>
        <w:t xml:space="preserve">Sources: </w:t>
      </w:r>
      <w:hyperlink r:id="rId12" w:history="1">
        <w:r>
          <w:rPr>
            <w:rStyle w:val="Hyperlink"/>
            <w:sz w:val="18"/>
            <w:szCs w:val="18"/>
          </w:rPr>
          <w:t>UN-SPIDER — Sentinel-1 SAR flood mapping (GEE)</w:t>
        </w:r>
      </w:hyperlink>
      <w:r>
        <w:rPr>
          <w:color w:val="1A7A4A"/>
          <w:sz w:val="17"/>
          <w:szCs w:val="17"/>
        </w:rPr>
        <w:t xml:space="preserve">   ·   </w:t>
      </w:r>
      <w:hyperlink r:id="rId13" w:history="1">
        <w:r>
          <w:rPr>
            <w:rStyle w:val="Hyperlink"/>
            <w:sz w:val="18"/>
            <w:szCs w:val="18"/>
          </w:rPr>
          <w:t>WRI Aqueduct Water / Flood Risk</w:t>
        </w:r>
      </w:hyperlink>
    </w:p>
    <w:p w:rsidR="00F90C52" w:rsidRDefault="00000000">
      <w:pPr>
        <w:pStyle w:val="Heading1"/>
      </w:pPr>
      <w:r>
        <w:t>4 · Carbon — IPCC + GEDI/CCI + Verra/Plan Vivo</w:t>
      </w:r>
    </w:p>
    <w:p w:rsidR="00F90C52" w:rsidRDefault="00F90C52">
      <w:pPr>
        <w:pBdr>
          <w:bottom w:val="single" w:sz="6" w:space="1" w:color="1A7A4A"/>
        </w:pBdr>
        <w:spacing w:after="120"/>
      </w:pPr>
    </w:p>
    <w:p w:rsidR="00F90C52" w:rsidRDefault="00000000">
      <w:pPr>
        <w:spacing w:after="80" w:line="276" w:lineRule="auto"/>
      </w:pPr>
      <w:r>
        <w:rPr>
          <w:b/>
          <w:bCs/>
          <w:color w:val="0F5233"/>
        </w:rPr>
        <w:t xml:space="preserve">Published basis.  </w:t>
      </w:r>
      <w:r>
        <w:t>A documented chain: aboveground biomass (AGB) from a published EO source or regression → carbon stock → CO₂e, using IPCC 2006 factors, aligned to a recognised voluntary methodology (Verra VCS or Plan Vivo).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>AGB (t/ha)   = GEDI L4A  or  ESA CCI Biomass  (IPCC Tier-1 AGBD)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 xml:space="preserve">             or a published NDVI -&gt; AGB regression for the biome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>Carbon (tC)  = AGB × 0.47          # IPCC 2006 carbon fraction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>CO2e (tCO2e) = Carbon × 44/12       # = × 3.67 (molecular ratio)</w:t>
      </w:r>
    </w:p>
    <w:p w:rsidR="00F90C52" w:rsidRDefault="00000000">
      <w:pPr>
        <w:pBdr>
          <w:left w:val="single" w:sz="18" w:space="6" w:color="1A7A4A"/>
        </w:pBdr>
        <w:shd w:val="clear" w:color="auto" w:fill="0E2A1E"/>
        <w:spacing w:line="250" w:lineRule="auto"/>
        <w:ind w:left="200"/>
      </w:pPr>
      <w:r>
        <w:rPr>
          <w:rFonts w:ascii="Consolas" w:eastAsia="Consolas" w:hAnsi="Consolas" w:cs="Consolas"/>
          <w:color w:val="D8EFE0"/>
          <w:sz w:val="17"/>
          <w:szCs w:val="17"/>
        </w:rPr>
        <w:t>Total        = CO2e/ha × AOI_area_ha</w:t>
      </w:r>
    </w:p>
    <w:p w:rsidR="00F90C52" w:rsidRDefault="00000000">
      <w:pPr>
        <w:spacing w:after="80" w:line="276" w:lineRule="auto"/>
      </w:pPr>
      <w:r>
        <w:rPr>
          <w:b/>
          <w:bCs/>
          <w:color w:val="0F5233"/>
        </w:rPr>
        <w:lastRenderedPageBreak/>
        <w:t xml:space="preserve">Methodology alignment.  </w:t>
      </w:r>
      <w:r>
        <w:t>Forest / avoided deforestation → Verra VCS (e.g. VM0007) or AR-ACM0003. Mangrove / blue carbon → Verra VM0033 or Plan Vivo (the Mikoko Pamoja mangrove project is Plan Vivo-certified). Screening-grade estimate — not a full MRV.</w:t>
      </w:r>
    </w:p>
    <w:p w:rsidR="00F90C52" w:rsidRDefault="00000000">
      <w:pPr>
        <w:spacing w:before="80" w:after="130" w:line="252" w:lineRule="auto"/>
      </w:pPr>
      <w:r>
        <w:rPr>
          <w:b/>
          <w:bCs/>
          <w:color w:val="1A7A4A"/>
          <w:sz w:val="17"/>
          <w:szCs w:val="17"/>
        </w:rPr>
        <w:t xml:space="preserve">Sources: </w:t>
      </w:r>
      <w:hyperlink r:id="rId14" w:history="1">
        <w:r>
          <w:rPr>
            <w:rStyle w:val="Hyperlink"/>
            <w:sz w:val="18"/>
            <w:szCs w:val="18"/>
          </w:rPr>
          <w:t>GEDI L4A / ESA CCI Biomass for IPCC (IOP, 2023)</w:t>
        </w:r>
      </w:hyperlink>
      <w:r>
        <w:rPr>
          <w:color w:val="1A7A4A"/>
          <w:sz w:val="17"/>
          <w:szCs w:val="17"/>
        </w:rPr>
        <w:t xml:space="preserve">   ·   </w:t>
      </w:r>
      <w:hyperlink r:id="rId15" w:history="1">
        <w:r>
          <w:rPr>
            <w:rStyle w:val="Hyperlink"/>
            <w:sz w:val="18"/>
            <w:szCs w:val="18"/>
          </w:rPr>
          <w:t>Verra VCS methodologies</w:t>
        </w:r>
      </w:hyperlink>
    </w:p>
    <w:p>
      <w:pPr>
        <w:pStyle w:val="Heading1"/>
      </w:pPr>
      <w:r>
        <w:t>4b · Generation estimate (energy assets) — PVWatts</w:t>
      </w:r>
    </w:p>
    <w:p>
      <w:pPr/>
      <w:r>
        <w:rPr>
          <w:b/>
        </w:rPr>
        <w:t xml:space="preserve">Published basis.  </w:t>
      </w:r>
      <w:r>
        <w:t>The NREL PVWatts model — the industry-standard method for estimating photovoltaic energy output — combined with satellite solar irradiance (ERA5). A documented ESTIMATE used to cross-check reported generation; actual metered output is not satellite-observable.</w:t>
      </w:r>
    </w:p>
    <w:p>
      <w:pPr/>
      <w:r>
        <w:rPr>
          <w:b/>
        </w:rPr>
        <w:t xml:space="preserve">Documented formula (as implemented).  </w:t>
      </w:r>
    </w:p>
    <w:p>
      <w:pPr/>
      <w:r>
        <w:t>GHI (kWh/m2/yr)      = annual sum of ERA5 surface downward solar radiation</w:t>
      </w:r>
    </w:p>
    <w:p>
      <w:pPr/>
      <w:r>
        <w:t>Generation (GWh/yr)  = capacity_MW × GHI × PR × tracking / 1000    # PVWatts</w:t>
      </w:r>
    </w:p>
    <w:p>
      <w:pPr/>
      <w:r>
        <w:t xml:space="preserve">  PR (performance ratio) ~ 0.80 ;  tracking = 1.0 fixed, ~1.3 single-axis</w:t>
      </w:r>
    </w:p>
    <w:p>
      <w:r>
        <w:t>Avoided emissions (estimate).  Generation (MWh) × a grid emission factor. A new renewable's avoided emissions depend on the LOCAL grid it displaces, so the factor is per-grid, not a global constant (a Spanish grid is ~4× cleaner than Uzbekistan's):</w:t>
      </w:r>
    </w:p>
    <w:p>
      <w:r>
        <w:t>Spain 0.123 tCO₂/MWh (Red Eléctrica, 2020 peninsular; 0.165 in 2019);  Uzbekistan 0.551 (UNFCCC CDM standardized baseline, combined margin, solar/wind);  any grid not in the table → a flagged global-average fallback ≈ 0.45 tCO₂/MWh (IEA/Ember ~2022), clearly marked approximate.</w:t>
      </w:r>
    </w:p>
    <w:p>
      <w:r>
        <w:t>We apply the grid-AVERAGE factor (conservative); reported figures often use a marginal / displacement factor, so a reported value sitting above our estimate is consistent with our lower-bound framing, not a discrepancy.</w:t>
      </w:r>
    </w:p>
    <w:p>
      <w:pPr/>
      <w:r>
        <w:rPr>
          <w:b/>
        </w:rPr>
        <w:t xml:space="preserve">Use.  </w:t>
      </w:r>
      <w:r>
        <w:t>Compare the estimate to the reported generation; a material gap flags a claim to investigate. We confirm build and operation, not metered output.</w:t>
      </w:r>
    </w:p>
    <w:p>
      <w:pPr/>
      <w:r>
        <w:rPr>
          <w:b/>
        </w:rPr>
        <w:t>Sources:   ·  Red Eléctrica de España (grid factor)  ·  UNFCCC CDM baseline  ·  IEA/Ember global average.</w:t>
      </w:r>
      <w:r>
        <w:t>NREL PVWatts  ·  ERA5 solar radiation  ·  Global Solar Atlas (PVOUT).</w:t>
      </w:r>
    </w:p>
    <w:p w:rsidR="00F90C52" w:rsidRDefault="00000000">
      <w:pPr>
        <w:pStyle w:val="Heading1"/>
      </w:pPr>
      <w:r>
        <w:t>5 · Verdict language — assurance terminology</w:t>
      </w:r>
    </w:p>
    <w:p w:rsidR="00F90C52" w:rsidRDefault="00F90C52">
      <w:pPr>
        <w:pBdr>
          <w:bottom w:val="single" w:sz="6" w:space="1" w:color="1A7A4A"/>
        </w:pBdr>
        <w:spacing w:after="120"/>
      </w:pPr>
    </w:p>
    <w:p w:rsidR="00F90C52" w:rsidRDefault="00000000">
      <w:pPr>
        <w:spacing w:after="80" w:line="276" w:lineRule="auto"/>
      </w:pPr>
      <w:r>
        <w:rPr>
          <w:b/>
          <w:bCs/>
          <w:color w:val="0F5233"/>
        </w:rPr>
        <w:t xml:space="preserve">Published basis.  </w:t>
      </w:r>
      <w:r>
        <w:t>Auditors express confidence under ISAE 3000 (Revised) / the new ISSA 5000 for sustainability: reasonable assurance uses a positive form; limited assurance uses a negative form (“nothing has come to our attention”). EO alone supports limited-assurance language.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F90C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0F523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Screening result</w:t>
            </w:r>
          </w:p>
        </w:tc>
        <w:tc>
          <w:tcPr>
            <w:tcW w:w="66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0F523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Assurance-aligned phrasing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Consistent</w:t>
            </w:r>
          </w:p>
        </w:tc>
        <w:tc>
          <w:tcPr>
            <w:tcW w:w="66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“Based on the evidence, nothing came to our attention indicating the observed change is inconsistent with the stated activity.” (limited assurance)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Partially consistent</w:t>
            </w:r>
          </w:p>
        </w:tc>
        <w:tc>
          <w:tcPr>
            <w:tcW w:w="66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“Some indicators are consistent; others could not be corroborated from EO alone and warrant human review.”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Inconsistent</w:t>
            </w:r>
          </w:p>
        </w:tc>
        <w:tc>
          <w:tcPr>
            <w:tcW w:w="66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“The evidence indicates observed change not consistent with the stated activity — recommend investigation.”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Insufficient data</w:t>
            </w:r>
          </w:p>
        </w:tc>
        <w:tc>
          <w:tcPr>
            <w:tcW w:w="66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“Insufficient cloud-free / valid observations to form a conclusion.”</w:t>
            </w:r>
          </w:p>
        </w:tc>
      </w:tr>
    </w:tbl>
    <w:p w:rsidR="00F90C52" w:rsidRDefault="00000000">
      <w:pPr>
        <w:spacing w:before="80" w:after="130" w:line="252" w:lineRule="auto"/>
      </w:pPr>
      <w:r>
        <w:rPr>
          <w:b/>
          <w:bCs/>
          <w:color w:val="1A7A4A"/>
          <w:sz w:val="17"/>
          <w:szCs w:val="17"/>
        </w:rPr>
        <w:t xml:space="preserve">Sources: </w:t>
      </w:r>
      <w:hyperlink r:id="rId16" w:history="1">
        <w:r>
          <w:rPr>
            <w:rStyle w:val="Hyperlink"/>
            <w:sz w:val="18"/>
            <w:szCs w:val="18"/>
          </w:rPr>
          <w:t>IAASB — ISAE 3000 (Revised) assurance</w:t>
        </w:r>
      </w:hyperlink>
    </w:p>
    <w:p w:rsidR="00F90C52" w:rsidRDefault="00000000">
      <w:pPr>
        <w:pStyle w:val="Heading1"/>
      </w:pPr>
      <w:r>
        <w:t>Summary — what each score rests on</w:t>
      </w:r>
    </w:p>
    <w:p w:rsidR="00F90C52" w:rsidRDefault="00F90C52">
      <w:pPr>
        <w:pBdr>
          <w:bottom w:val="single" w:sz="6" w:space="1" w:color="1A7A4A"/>
        </w:pBdr>
        <w:spacing w:after="120"/>
      </w:pP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0"/>
      </w:tblGrid>
      <w:tr w:rsidR="00F90C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0F523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69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0F523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Documented basis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Risk structure</w:t>
            </w:r>
          </w:p>
        </w:tc>
        <w:tc>
          <w:tcPr>
            <w:tcW w:w="69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IPCC AR6 / industry Hazard × Exposure × Vulnerability; INFORM (socioeconomic)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Fire — risk</w:t>
            </w:r>
          </w:p>
        </w:tc>
        <w:tc>
          <w:tcPr>
            <w:tcW w:w="69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Fosberg FFWI (1978); ERA5-Land, gated by fuel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Fire — severity</w:t>
            </w:r>
          </w:p>
        </w:tc>
        <w:tc>
          <w:tcPr>
            <w:tcW w:w="69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Key &amp; Benson dNBR bands (USGS / FIREMON)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Flood</w:t>
            </w:r>
          </w:p>
        </w:tc>
        <w:tc>
          <w:tcPr>
            <w:tcW w:w="69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JRC GSW + UN-SPIDER SAR/Otsu + WRI Aqueduct / depth–damage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Carbon</w:t>
            </w:r>
          </w:p>
        </w:tc>
        <w:tc>
          <w:tcPr>
            <w:tcW w:w="69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IPCC ×0.47 &amp; ×3.67; GEDI L4A / ESA CCI; Verra / Plan Vivo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Verdict</w:t>
            </w:r>
          </w:p>
        </w:tc>
        <w:tc>
          <w:tcPr>
            <w:tcW w:w="69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ISAE 3000 (Revised) / ISSA 5000 assurance language</w:t>
            </w:r>
          </w:p>
        </w:tc>
      </w:tr>
      <w:tr>
        <w:tc>
          <w:tcPr>
            <w:tcW w:type="dxa" w:w="2100"/>
          </w:tcPr>
          <w:p>
            <w:r>
              <w:t>Generation (energy assets)</w:t>
            </w:r>
          </w:p>
        </w:tc>
        <w:tc>
          <w:tcPr>
            <w:tcW w:type="dxa" w:w="6920"/>
          </w:tcPr>
          <w:p>
            <w:r>
              <w:t>PVWatts (NREL) + ERA5 GHI — documented estimate</w:t>
            </w:r>
          </w:p>
        </w:tc>
      </w:tr>
    </w:tbl>
    <w:p w:rsidR="00F90C52" w:rsidRDefault="00000000">
      <w:pPr>
        <w:pStyle w:val="Heading1"/>
      </w:pPr>
      <w:r>
        <w:t>6 · Metrics we can produce (the full scope)</w:t>
      </w:r>
    </w:p>
    <w:p w:rsidR="00F90C52" w:rsidRDefault="00F90C52">
      <w:pPr>
        <w:pBdr>
          <w:bottom w:val="single" w:sz="6" w:space="1" w:color="1A7A4A"/>
        </w:pBdr>
        <w:spacing w:after="120"/>
      </w:pPr>
    </w:p>
    <w:p w:rsidR="00F90C52" w:rsidRDefault="00000000">
      <w:pPr>
        <w:spacing w:after="120" w:line="276" w:lineRule="auto"/>
      </w:pPr>
      <w:r>
        <w:t>Everything the engine can compute, with its formula. Nothing outside this list is claimed.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250"/>
        <w:gridCol w:w="1750"/>
        <w:gridCol w:w="2120"/>
      </w:tblGrid>
      <w:tr w:rsidR="00F90C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0F523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2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0F523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Formula / method</w:t>
            </w:r>
          </w:p>
        </w:tc>
        <w:tc>
          <w:tcPr>
            <w:tcW w:w="17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0F523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1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0F523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Documented source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NDVI (+ trend)</w:t>
            </w:r>
          </w:p>
        </w:tc>
        <w:tc>
          <w:tcPr>
            <w:tcW w:w="32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(B8−B4)/(B8+B4)</w:t>
            </w:r>
          </w:p>
        </w:tc>
        <w:tc>
          <w:tcPr>
            <w:tcW w:w="17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Sentinel-2</w:t>
            </w:r>
          </w:p>
        </w:tc>
        <w:tc>
          <w:tcPr>
            <w:tcW w:w="21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Rouse 1974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NDWI</w:t>
            </w:r>
          </w:p>
        </w:tc>
        <w:tc>
          <w:tcPr>
            <w:tcW w:w="32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(B3−B8)/(B3+B8)</w:t>
            </w:r>
          </w:p>
        </w:tc>
        <w:tc>
          <w:tcPr>
            <w:tcW w:w="17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Sentinel-2</w:t>
            </w:r>
          </w:p>
        </w:tc>
        <w:tc>
          <w:tcPr>
            <w:tcW w:w="21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McFeeters 1996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NBR</w:t>
            </w:r>
          </w:p>
        </w:tc>
        <w:tc>
          <w:tcPr>
            <w:tcW w:w="32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(B8A−B12)/(B8A+B12)</w:t>
            </w:r>
          </w:p>
        </w:tc>
        <w:tc>
          <w:tcPr>
            <w:tcW w:w="17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Sentinel-2</w:t>
            </w:r>
          </w:p>
        </w:tc>
        <w:tc>
          <w:tcPr>
            <w:tcW w:w="21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Key &amp; Benson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Change detection</w:t>
            </w:r>
          </w:p>
        </w:tc>
        <w:tc>
          <w:tcPr>
            <w:tcW w:w="32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ΔNDVI = NDVI_a−NDVI_b; flag |Δ|&gt;0.1</w:t>
            </w:r>
          </w:p>
        </w:tc>
        <w:tc>
          <w:tcPr>
            <w:tcW w:w="17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Sentinel-2</w:t>
            </w:r>
          </w:p>
        </w:tc>
        <w:tc>
          <w:tcPr>
            <w:tcW w:w="21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bi-temporal differencing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Land cover / change</w:t>
            </w:r>
          </w:p>
        </w:tc>
        <w:tc>
          <w:tcPr>
            <w:tcW w:w="32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per-pixel class (ML)</w:t>
            </w:r>
          </w:p>
        </w:tc>
        <w:tc>
          <w:tcPr>
            <w:tcW w:w="17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Dynamic World</w:t>
            </w:r>
          </w:p>
        </w:tc>
        <w:tc>
          <w:tcPr>
            <w:tcW w:w="21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Brown et al. 2022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Surface water</w:t>
            </w:r>
          </w:p>
        </w:tc>
        <w:tc>
          <w:tcPr>
            <w:tcW w:w="32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VH &lt; otsu(VH); vs JRC permanent</w:t>
            </w:r>
          </w:p>
        </w:tc>
        <w:tc>
          <w:tcPr>
            <w:tcW w:w="17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Sentinel-1 + JRC</w:t>
            </w:r>
          </w:p>
        </w:tc>
        <w:tc>
          <w:tcPr>
            <w:tcW w:w="21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UN-SPIDER; Pekel 2016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Fire severity (dNBR)</w:t>
            </w:r>
          </w:p>
        </w:tc>
        <w:tc>
          <w:tcPr>
            <w:tcW w:w="32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dNBR = NBR_pre−NBR_post; K&amp;B bands</w:t>
            </w:r>
          </w:p>
        </w:tc>
        <w:tc>
          <w:tcPr>
            <w:tcW w:w="17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Sentinel-2</w:t>
            </w:r>
          </w:p>
        </w:tc>
        <w:tc>
          <w:tcPr>
            <w:tcW w:w="21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Key &amp; Benson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Fire risk (FFWI)</w:t>
            </w:r>
          </w:p>
        </w:tc>
        <w:tc>
          <w:tcPr>
            <w:tcW w:w="32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Fosberg FFWI(temp, RH, wind) × fuel</w:t>
            </w:r>
          </w:p>
        </w:tc>
        <w:tc>
          <w:tcPr>
            <w:tcW w:w="17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ERA5-Land + S-2</w:t>
            </w:r>
          </w:p>
        </w:tc>
        <w:tc>
          <w:tcPr>
            <w:tcW w:w="21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Fosberg 1978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lastRenderedPageBreak/>
              <w:t>Flood extent / risk</w:t>
            </w:r>
          </w:p>
        </w:tc>
        <w:tc>
          <w:tcPr>
            <w:tcW w:w="32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new_flood × exposure × damage</w:t>
            </w:r>
          </w:p>
        </w:tc>
        <w:tc>
          <w:tcPr>
            <w:tcW w:w="17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Sentinel-1 + JRC</w:t>
            </w:r>
          </w:p>
        </w:tc>
        <w:tc>
          <w:tcPr>
            <w:tcW w:w="21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UN-SPIDER; JRC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Biomass / carbon</w:t>
            </w:r>
          </w:p>
        </w:tc>
        <w:tc>
          <w:tcPr>
            <w:tcW w:w="32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AGB × 0.47 × 3.67 × area</w:t>
            </w:r>
          </w:p>
        </w:tc>
        <w:tc>
          <w:tcPr>
            <w:tcW w:w="17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GEDI L4A / ESA CCI</w:t>
            </w:r>
          </w:p>
        </w:tc>
        <w:tc>
          <w:tcPr>
            <w:tcW w:w="21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IPCC 2006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Exposure</w:t>
            </w:r>
          </w:p>
        </w:tc>
        <w:tc>
          <w:tcPr>
            <w:tcW w:w="32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Σ(pop / built-up in AOI)</w:t>
            </w:r>
          </w:p>
        </w:tc>
        <w:tc>
          <w:tcPr>
            <w:tcW w:w="17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GHSL / WorldPop</w:t>
            </w:r>
          </w:p>
        </w:tc>
        <w:tc>
          <w:tcPr>
            <w:tcW w:w="21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JRC GHSL; WorldPop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Physical risk (composite)</w:t>
            </w:r>
          </w:p>
        </w:tc>
        <w:tc>
          <w:tcPr>
            <w:tcW w:w="32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Hazard × Exposure × Vulnerability</w:t>
            </w:r>
          </w:p>
        </w:tc>
        <w:tc>
          <w:tcPr>
            <w:tcW w:w="17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21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E8F5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IPCC AR6 / industry</w:t>
            </w:r>
          </w:p>
        </w:tc>
      </w:tr>
      <w:tr w:rsidR="00F90C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Screening verdict</w:t>
            </w:r>
          </w:p>
        </w:tc>
        <w:tc>
          <w:tcPr>
            <w:tcW w:w="32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rules on robust NDVI trend (annual slope, gated on interannual variability) &amp; loss %</w:t>
            </w:r>
          </w:p>
        </w:tc>
        <w:tc>
          <w:tcPr>
            <w:tcW w:w="175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2120" w:type="dxa"/>
            <w:tcBorders>
              <w:top w:val="single" w:sz="1" w:space="0" w:color="CCD8CF"/>
              <w:left w:val="single" w:sz="1" w:space="0" w:color="CCD8CF"/>
              <w:bottom w:val="single" w:sz="1" w:space="0" w:color="CCD8CF"/>
              <w:right w:val="single" w:sz="1" w:space="0" w:color="CCD8C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:rsidR="00F90C52" w:rsidRDefault="00000000">
            <w:pPr>
              <w:spacing w:line="246" w:lineRule="auto"/>
            </w:pPr>
            <w:r>
              <w:rPr>
                <w:sz w:val="18"/>
                <w:szCs w:val="18"/>
              </w:rPr>
              <w:t>ISAE 3000 / ISSA 5000</w:t>
            </w:r>
          </w:p>
        </w:tc>
      </w:tr>
      <w:tr>
        <w:tc>
          <w:tcPr>
            <w:tcW w:type="dxa" w:w="1900"/>
          </w:tcPr>
          <w:p>
            <w:r>
              <w:t>Generation estimate (solar)</w:t>
            </w:r>
          </w:p>
        </w:tc>
        <w:tc>
          <w:tcPr>
            <w:tcW w:type="dxa" w:w="3250"/>
          </w:tcPr>
          <w:p>
            <w:r>
              <w:t>capacity × GHI × PR (PVWatts)</w:t>
            </w:r>
          </w:p>
        </w:tc>
        <w:tc>
          <w:tcPr>
            <w:tcW w:type="dxa" w:w="1750"/>
          </w:tcPr>
          <w:p>
            <w:r>
              <w:t>ERA5 GHI</w:t>
            </w:r>
          </w:p>
        </w:tc>
        <w:tc>
          <w:tcPr>
            <w:tcW w:type="dxa" w:w="2120"/>
          </w:tcPr>
          <w:p>
            <w:r>
              <w:t>NREL PVWatts</w:t>
            </w:r>
          </w:p>
        </w:tc>
      </w:tr>
    </w:tbl>
    <w:p w:rsidR="00F90C52" w:rsidRDefault="00F90C52">
      <w:pPr>
        <w:spacing w:after="70"/>
      </w:pPr>
    </w:p>
    <w:p w:rsidR="00F90C52" w:rsidRDefault="00000000">
      <w:pPr>
        <w:pStyle w:val="Heading2"/>
      </w:pPr>
      <w:r>
        <w:t>6.1 What we do NOT compute (and say so)</w:t>
      </w:r>
    </w:p>
    <w:p w:rsidR="00F90C52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rPr>
          <w:b/>
          <w:bCs/>
        </w:rPr>
        <w:t xml:space="preserve">Biodiversity / species richness </w:t>
      </w:r>
      <w:r>
        <w:t>— not observable from Sentinel; needs hyperspectral or ground truth. Habitat-extent + NDVI proxies only.</w:t>
      </w:r>
    </w:p>
    <w:p w:rsidR="00F90C52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rPr>
          <w:b/>
          <w:bCs/>
        </w:rPr>
        <w:t xml:space="preserve">Per-asset energy generation (GWh, tCO₂ avoided) </w:t>
      </w:r>
      <w:r>
        <w:t>— actual output not directly measurable; we produce a documented PVWatts ESTIMATE to cross-check the reported figure, and confirm build / operation.</w:t>
      </w:r>
    </w:p>
    <w:p w:rsidR="00F90C52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rPr>
          <w:b/>
          <w:bCs/>
        </w:rPr>
        <w:t xml:space="preserve">Regulatory-grade carbon MRV / audit certification </w:t>
      </w:r>
      <w:r>
        <w:t>— screening only.</w:t>
      </w:r>
    </w:p>
    <w:p w:rsidR="00F90C52" w:rsidRDefault="00F90C52">
      <w:pPr>
        <w:spacing w:after="160"/>
      </w:pPr>
    </w:p>
    <w:p w:rsidR="00F90C52" w:rsidRDefault="00000000">
      <w:pPr>
        <w:spacing w:after="120" w:line="276" w:lineRule="auto"/>
        <w:jc w:val="center"/>
      </w:pPr>
      <w:r>
        <w:rPr>
          <w:i/>
          <w:iCs/>
          <w:color w:val="1A7A4A"/>
          <w:sz w:val="18"/>
          <w:szCs w:val="18"/>
        </w:rPr>
        <w:t>Project Canopy · GCL Hackathon 2026 · Scoring Methodology &amp; Provenance</w:t>
      </w:r>
    </w:p>
    <w:sectPr w:rsidR="00F90C52">
      <w:footerReference w:type="default" r:id="rId17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4686" w:rsidRDefault="00934686">
      <w:r>
        <w:separator/>
      </w:r>
    </w:p>
  </w:endnote>
  <w:endnote w:type="continuationSeparator" w:id="0">
    <w:p w:rsidR="00934686" w:rsidRDefault="00934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0C52" w:rsidRDefault="00000000">
    <w:pPr>
      <w:pBdr>
        <w:top w:val="single" w:sz="4" w:space="6" w:color="C8E6D7"/>
      </w:pBdr>
      <w:jc w:val="center"/>
    </w:pPr>
    <w:r>
      <w:rPr>
        <w:color w:val="1A7A4A"/>
        <w:sz w:val="15"/>
        <w:szCs w:val="15"/>
      </w:rPr>
      <w:t xml:space="preserve">Canopy Scoring Methodology &amp; Provenance · Luna · Page </w:t>
    </w:r>
    <w:r>
      <w:rPr>
        <w:color w:val="1A7A4A"/>
        <w:sz w:val="15"/>
        <w:szCs w:val="15"/>
      </w:rPr>
      <w:fldChar w:fldCharType="begin"/>
    </w:r>
    <w:r>
      <w:rPr>
        <w:color w:val="1A7A4A"/>
        <w:sz w:val="15"/>
        <w:szCs w:val="15"/>
      </w:rPr>
      <w:instrText>PAGE</w:instrText>
    </w:r>
    <w:r>
      <w:rPr>
        <w:color w:val="1A7A4A"/>
        <w:sz w:val="15"/>
        <w:szCs w:val="15"/>
      </w:rPr>
      <w:fldChar w:fldCharType="separate"/>
    </w:r>
    <w:r w:rsidR="009803DC">
      <w:rPr>
        <w:noProof/>
        <w:color w:val="1A7A4A"/>
        <w:sz w:val="15"/>
        <w:szCs w:val="15"/>
      </w:rPr>
      <w:t>1</w:t>
    </w:r>
    <w:r>
      <w:rPr>
        <w:color w:val="1A7A4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4686" w:rsidRDefault="00934686">
      <w:r>
        <w:separator/>
      </w:r>
    </w:p>
  </w:footnote>
  <w:footnote w:type="continuationSeparator" w:id="0">
    <w:p w:rsidR="00934686" w:rsidRDefault="009346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53FBB"/>
    <w:multiLevelType w:val="hybridMultilevel"/>
    <w:tmpl w:val="6E34633E"/>
    <w:lvl w:ilvl="0" w:tplc="A20C0DBE">
      <w:start w:val="1"/>
      <w:numFmt w:val="bullet"/>
      <w:lvlText w:val="•"/>
      <w:lvlJc w:val="left"/>
      <w:pPr>
        <w:ind w:left="440" w:hanging="240"/>
      </w:pPr>
    </w:lvl>
    <w:lvl w:ilvl="1" w:tplc="A94E809C">
      <w:numFmt w:val="decimal"/>
      <w:lvlText w:val=""/>
      <w:lvlJc w:val="left"/>
    </w:lvl>
    <w:lvl w:ilvl="2" w:tplc="4B8830CA">
      <w:numFmt w:val="decimal"/>
      <w:lvlText w:val=""/>
      <w:lvlJc w:val="left"/>
    </w:lvl>
    <w:lvl w:ilvl="3" w:tplc="3340A2B6">
      <w:numFmt w:val="decimal"/>
      <w:lvlText w:val=""/>
      <w:lvlJc w:val="left"/>
    </w:lvl>
    <w:lvl w:ilvl="4" w:tplc="D180C340">
      <w:numFmt w:val="decimal"/>
      <w:lvlText w:val=""/>
      <w:lvlJc w:val="left"/>
    </w:lvl>
    <w:lvl w:ilvl="5" w:tplc="0BEEFAB6">
      <w:numFmt w:val="decimal"/>
      <w:lvlText w:val=""/>
      <w:lvlJc w:val="left"/>
    </w:lvl>
    <w:lvl w:ilvl="6" w:tplc="9B686148">
      <w:numFmt w:val="decimal"/>
      <w:lvlText w:val=""/>
      <w:lvlJc w:val="left"/>
    </w:lvl>
    <w:lvl w:ilvl="7" w:tplc="98FC8676">
      <w:numFmt w:val="decimal"/>
      <w:lvlText w:val=""/>
      <w:lvlJc w:val="left"/>
    </w:lvl>
    <w:lvl w:ilvl="8" w:tplc="D976FCDA">
      <w:numFmt w:val="decimal"/>
      <w:lvlText w:val=""/>
      <w:lvlJc w:val="left"/>
    </w:lvl>
  </w:abstractNum>
  <w:abstractNum w:abstractNumId="1" w15:restartNumberingAfterBreak="0">
    <w:nsid w:val="74BA5B46"/>
    <w:multiLevelType w:val="hybridMultilevel"/>
    <w:tmpl w:val="8B68B25A"/>
    <w:lvl w:ilvl="0" w:tplc="AA3C4F2E">
      <w:start w:val="1"/>
      <w:numFmt w:val="bullet"/>
      <w:lvlText w:val="●"/>
      <w:lvlJc w:val="left"/>
      <w:pPr>
        <w:ind w:left="720" w:hanging="360"/>
      </w:pPr>
    </w:lvl>
    <w:lvl w:ilvl="1" w:tplc="1D824F16">
      <w:start w:val="1"/>
      <w:numFmt w:val="bullet"/>
      <w:lvlText w:val="○"/>
      <w:lvlJc w:val="left"/>
      <w:pPr>
        <w:ind w:left="1440" w:hanging="360"/>
      </w:pPr>
    </w:lvl>
    <w:lvl w:ilvl="2" w:tplc="5CCEB0E0">
      <w:start w:val="1"/>
      <w:numFmt w:val="bullet"/>
      <w:lvlText w:val="■"/>
      <w:lvlJc w:val="left"/>
      <w:pPr>
        <w:ind w:left="2160" w:hanging="360"/>
      </w:pPr>
    </w:lvl>
    <w:lvl w:ilvl="3" w:tplc="1B3ACC28">
      <w:start w:val="1"/>
      <w:numFmt w:val="bullet"/>
      <w:lvlText w:val="●"/>
      <w:lvlJc w:val="left"/>
      <w:pPr>
        <w:ind w:left="2880" w:hanging="360"/>
      </w:pPr>
    </w:lvl>
    <w:lvl w:ilvl="4" w:tplc="B8F66D1E">
      <w:start w:val="1"/>
      <w:numFmt w:val="bullet"/>
      <w:lvlText w:val="○"/>
      <w:lvlJc w:val="left"/>
      <w:pPr>
        <w:ind w:left="3600" w:hanging="360"/>
      </w:pPr>
    </w:lvl>
    <w:lvl w:ilvl="5" w:tplc="AE42D0F8">
      <w:start w:val="1"/>
      <w:numFmt w:val="bullet"/>
      <w:lvlText w:val="■"/>
      <w:lvlJc w:val="left"/>
      <w:pPr>
        <w:ind w:left="4320" w:hanging="360"/>
      </w:pPr>
    </w:lvl>
    <w:lvl w:ilvl="6" w:tplc="3B00BEBE">
      <w:start w:val="1"/>
      <w:numFmt w:val="bullet"/>
      <w:lvlText w:val="●"/>
      <w:lvlJc w:val="left"/>
      <w:pPr>
        <w:ind w:left="5040" w:hanging="360"/>
      </w:pPr>
    </w:lvl>
    <w:lvl w:ilvl="7" w:tplc="323C941E">
      <w:start w:val="1"/>
      <w:numFmt w:val="bullet"/>
      <w:lvlText w:val="●"/>
      <w:lvlJc w:val="left"/>
      <w:pPr>
        <w:ind w:left="5760" w:hanging="360"/>
      </w:pPr>
    </w:lvl>
    <w:lvl w:ilvl="8" w:tplc="C9DCBA24">
      <w:start w:val="1"/>
      <w:numFmt w:val="bullet"/>
      <w:lvlText w:val="●"/>
      <w:lvlJc w:val="left"/>
      <w:pPr>
        <w:ind w:left="6480" w:hanging="360"/>
      </w:pPr>
    </w:lvl>
  </w:abstractNum>
  <w:num w:numId="1" w16cid:durableId="1156263147">
    <w:abstractNumId w:val="1"/>
    <w:lvlOverride w:ilvl="0">
      <w:startOverride w:val="1"/>
    </w:lvlOverride>
  </w:num>
  <w:num w:numId="2" w16cid:durableId="237859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C52"/>
    <w:rsid w:val="00934686"/>
    <w:rsid w:val="009803DC"/>
    <w:rsid w:val="00F9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7E5C4ED4-3EF8-9D4F-B2B7-70A332803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3E50"/>
        <w:sz w:val="21"/>
        <w:szCs w:val="21"/>
        <w:lang w:val="en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10"/>
      <w:outlineLvl w:val="0"/>
    </w:pPr>
    <w:rPr>
      <w:b/>
      <w:bCs/>
      <w:color w:val="0F5233"/>
      <w:sz w:val="27"/>
      <w:szCs w:val="27"/>
    </w:rPr>
  </w:style>
  <w:style w:type="paragraph" w:styleId="Heading2">
    <w:name w:val="heading 2"/>
    <w:uiPriority w:val="9"/>
    <w:unhideWhenUsed/>
    <w:qFormat/>
    <w:pPr>
      <w:spacing w:before="170" w:after="85"/>
      <w:outlineLvl w:val="1"/>
    </w:pPr>
    <w:rPr>
      <w:b/>
      <w:bCs/>
      <w:color w:val="1A7A4A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ghsl.jrc.ec.europa.eu/" TargetMode="External"/><Relationship Id="rId13" Type="http://schemas.openxmlformats.org/officeDocument/2006/relationships/hyperlink" Target="https://www.wri.org/applications/aqueduct/water-risk-atla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mkc.jrc.ec.europa.eu/inform-index/INFORM-Risk/Methodology" TargetMode="External"/><Relationship Id="rId12" Type="http://schemas.openxmlformats.org/officeDocument/2006/relationships/hyperlink" Target="https://un-spider.org/advisory-support/recommended-practices/recommended-practice-google-earth-engine-flood-mapping/step-by-step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iaasb.org/publications/international-standard-assurance-engagements-isae-3000-revised-assurance-engagements-other-audits-o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n-spider.org/advisory-support/recommended-practices/recommended-practice-burn-severity/in-detail/normalized-burn-ratio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verra.org/methodologies-main/" TargetMode="External"/><Relationship Id="rId10" Type="http://schemas.openxmlformats.org/officeDocument/2006/relationships/hyperlink" Target="https://www.nature.com/articles/s41597-020-0554-z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orest-fire.emergency.copernicus.eu/about-effis/technical-background/fire-danger-forecast" TargetMode="External"/><Relationship Id="rId14" Type="http://schemas.openxmlformats.org/officeDocument/2006/relationships/hyperlink" Target="https://iopscience.iop.org/article/10.1088/1748-9326/ad0b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1367</Words>
  <Characters>7793</Characters>
  <Application>Microsoft Office Word</Application>
  <DocSecurity>0</DocSecurity>
  <Lines>64</Lines>
  <Paragraphs>18</Paragraphs>
  <ScaleCrop>false</ScaleCrop>
  <Company/>
  <LinksUpToDate>false</LinksUpToDate>
  <CharactersWithSpaces>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Luna Rolland</cp:lastModifiedBy>
  <cp:revision>2</cp:revision>
  <dcterms:created xsi:type="dcterms:W3CDTF">2026-07-09T13:02:00Z</dcterms:created>
  <dcterms:modified xsi:type="dcterms:W3CDTF">2026-07-09T13:02:00Z</dcterms:modified>
</cp:coreProperties>
</file>