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0C52" w:rsidRDefault="00000000">
      <w:pPr>
        <w:pBdr>
          <w:bottom w:val="single" w:sz="6" w:space="6" w:color="1A7A4A"/>
        </w:pBdr>
        <w:spacing w:before="400"/>
      </w:pPr>
      <w:r>
        <w:rPr>
          <w:b/>
          <w:bCs/>
          <w:color w:val="0F5233"/>
          <w:sz w:val="42"/>
          <w:szCs w:val="42"/>
        </w:rPr>
        <w:t>CANOPY</w:t>
      </w:r>
    </w:p>
    <w:p w:rsidR="00F90C52" w:rsidRDefault="00000000">
      <w:pPr>
        <w:spacing w:before="140" w:after="40"/>
      </w:pPr>
      <w:r>
        <w:rPr>
          <w:sz w:val="31"/>
          <w:szCs w:val="31"/>
        </w:rPr>
        <w:t>Scoring — Results &amp; Benchmark</w:t>
      </w:r>
    </w:p>
    <w:p w:rsidR="00F90C52" w:rsidRDefault="00000000">
      <w:pPr>
        <w:spacing w:after="120" w:line="276" w:lineRule="auto"/>
      </w:pPr>
      <w:r>
        <w:rPr>
          <w:color w:val="1A7A4A"/>
          <w:sz w:val="22"/>
          <w:szCs w:val="22"/>
        </w:rPr>
        <w:t>Numerical results, plain-English definitions, accuracy, and benchmark</w:t>
      </w:r>
    </w:p>
    <w:p w:rsidR="00F90C52" w:rsidRDefault="00000000">
      <w:pPr>
        <w:spacing w:after="160"/>
      </w:pPr>
      <w:r>
        <w:rPr>
          <w:sz w:val="19"/>
          <w:szCs w:val="19"/>
        </w:rPr>
        <w:t>Luna · Geospatial Lead · Project Canopy · GCL Hackathon 2026</w:t>
      </w:r>
    </w:p>
    <w:p>
      <w:pPr>
        <w:pStyle w:val="Heading1"/>
      </w:pPr>
      <w:r>
        <w:t>1 · Full numerical results (both demo projects)</w:t>
      </w:r>
    </w:p>
    <w:p>
      <w:r>
        <w:t>Every value the engine produced on the latest run.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02"/>
        <w:gridCol w:w="3102"/>
        <w:gridCol w:w="3102"/>
      </w:tblGrid>
      <w:tr>
        <w:tc>
          <w:tcPr>
            <w:tcW w:type="dxa" w:w="3102"/>
            <w:shd w:val="clear" w:fill="0F5233"/>
          </w:tcPr>
          <w:p>
            <w:r/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02"/>
            <w:shd w:val="clear" w:fill="0F5233"/>
          </w:tcPr>
          <w:p>
            <w:r/>
            <w:r>
              <w:rPr>
                <w:b/>
                <w:color w:val="FFFFFF"/>
              </w:rPr>
              <w:t>Nur Navoi (solar)</w:t>
            </w:r>
          </w:p>
        </w:tc>
        <w:tc>
          <w:tcPr>
            <w:tcW w:type="dxa" w:w="3102"/>
            <w:shd w:val="clear" w:fill="0F5233"/>
          </w:tcPr>
          <w:p>
            <w:r/>
            <w:r>
              <w:rPr>
                <w:b/>
                <w:color w:val="FFFFFF"/>
              </w:rPr>
              <w:t>Mikoko (mangrove)</w:t>
            </w:r>
          </w:p>
        </w:tc>
      </w:tr>
      <w:tr>
        <w:tc>
          <w:tcPr>
            <w:tcW w:type="dxa" w:w="3102"/>
          </w:tcPr>
          <w:p>
            <w:r>
              <w:t>AOI area (ha)</w:t>
            </w:r>
          </w:p>
        </w:tc>
        <w:tc>
          <w:tcPr>
            <w:tcW w:type="dxa" w:w="3102"/>
          </w:tcPr>
          <w:p>
            <w:r>
              <w:t>544.7</w:t>
            </w:r>
          </w:p>
        </w:tc>
        <w:tc>
          <w:tcPr>
            <w:tcW w:type="dxa" w:w="3102"/>
          </w:tcPr>
          <w:p>
            <w:r>
              <w:t>177.5</w:t>
            </w:r>
          </w:p>
        </w:tc>
      </w:tr>
      <w:tr>
        <w:tc>
          <w:tcPr>
            <w:tcW w:type="dxa" w:w="3102"/>
            <w:shd w:val="clear" w:fill="EAF1ED"/>
          </w:tcPr>
          <w:p>
            <w:r>
              <w:t>Sentinel-2 scenes (before / after)</w:t>
            </w:r>
          </w:p>
        </w:tc>
        <w:tc>
          <w:tcPr>
            <w:tcW w:type="dxa" w:w="3102"/>
            <w:shd w:val="clear" w:fill="EAF1ED"/>
          </w:tcPr>
          <w:p>
            <w:r>
              <w:t>22 / 24</w:t>
            </w:r>
          </w:p>
        </w:tc>
        <w:tc>
          <w:tcPr>
            <w:tcW w:type="dxa" w:w="3102"/>
            <w:shd w:val="clear" w:fill="EAF1ED"/>
          </w:tcPr>
          <w:p>
            <w:r>
              <w:t>13 / 5</w:t>
            </w:r>
          </w:p>
        </w:tc>
      </w:tr>
      <w:tr>
        <w:tc>
          <w:tcPr>
            <w:tcW w:type="dxa" w:w="3102"/>
          </w:tcPr>
          <w:p>
            <w:r>
              <w:t>Screening status</w:t>
            </w:r>
          </w:p>
        </w:tc>
        <w:tc>
          <w:tcPr>
            <w:tcW w:type="dxa" w:w="3102"/>
          </w:tcPr>
          <w:p>
            <w:r>
              <w:t>Partially consistent</w:t>
            </w:r>
          </w:p>
        </w:tc>
        <w:tc>
          <w:tcPr>
            <w:tcW w:type="dxa" w:w="3102"/>
          </w:tcPr>
          <w:p>
            <w:r>
              <w:t>Partially consistent</w:t>
            </w:r>
          </w:p>
        </w:tc>
      </w:tr>
      <w:tr>
        <w:tc>
          <w:tcPr>
            <w:tcW w:type="dxa" w:w="3102"/>
            <w:shd w:val="clear" w:fill="EAF1ED"/>
          </w:tcPr>
          <w:p>
            <w:r>
              <w:t>Risk score / band</w:t>
            </w:r>
          </w:p>
        </w:tc>
        <w:tc>
          <w:tcPr>
            <w:tcW w:type="dxa" w:w="3102"/>
            <w:shd w:val="clear" w:fill="EAF1ED"/>
          </w:tcPr>
          <w:p>
            <w:r>
              <w:t>5 / Low</w:t>
            </w:r>
          </w:p>
        </w:tc>
        <w:tc>
          <w:tcPr>
            <w:tcW w:type="dxa" w:w="3102"/>
            <w:shd w:val="clear" w:fill="EAF1ED"/>
          </w:tcPr>
          <w:p>
            <w:r>
              <w:t>5 / Low</w:t>
            </w:r>
          </w:p>
        </w:tc>
      </w:tr>
      <w:tr>
        <w:tc>
          <w:tcPr>
            <w:tcW w:type="dxa" w:w="3102"/>
          </w:tcPr>
          <w:p>
            <w:r>
              <w:t>Confidence</w:t>
            </w:r>
          </w:p>
        </w:tc>
        <w:tc>
          <w:tcPr>
            <w:tcW w:type="dxa" w:w="3102"/>
          </w:tcPr>
          <w:p>
            <w:r>
              <w:t>0.87 (high)</w:t>
            </w:r>
          </w:p>
        </w:tc>
        <w:tc>
          <w:tcPr>
            <w:tcW w:type="dxa" w:w="3102"/>
          </w:tcPr>
          <w:p>
            <w:r>
              <w:t>0.60 (medium)</w:t>
            </w:r>
          </w:p>
        </w:tc>
      </w:tr>
      <w:tr>
        <w:tc>
          <w:tcPr>
            <w:tcW w:type="dxa" w:w="3102"/>
            <w:shd w:val="clear" w:fill="EAF1ED"/>
          </w:tcPr>
          <w:p>
            <w:r>
              <w:t>Change detected</w:t>
            </w:r>
          </w:p>
        </w:tc>
        <w:tc>
          <w:tcPr>
            <w:tcW w:type="dxa" w:w="3102"/>
            <w:shd w:val="clear" w:fill="EAF1ED"/>
          </w:tcPr>
          <w:p>
            <w:r>
              <w:t>true (build)</w:t>
            </w:r>
          </w:p>
        </w:tc>
        <w:tc>
          <w:tcPr>
            <w:tcW w:type="dxa" w:w="3102"/>
            <w:shd w:val="clear" w:fill="EAF1ED"/>
          </w:tcPr>
          <w:p>
            <w:r>
              <w:t>true (vegetation)</w:t>
            </w:r>
          </w:p>
        </w:tc>
      </w:tr>
      <w:tr>
        <w:tc>
          <w:tcPr>
            <w:tcW w:type="dxa" w:w="3102"/>
          </w:tcPr>
          <w:p>
            <w:r>
              <w:t>Human review recommended</w:t>
            </w:r>
          </w:p>
        </w:tc>
        <w:tc>
          <w:tcPr>
            <w:tcW w:type="dxa" w:w="3102"/>
          </w:tcPr>
          <w:p>
            <w:r>
              <w:t>false</w:t>
            </w:r>
          </w:p>
        </w:tc>
        <w:tc>
          <w:tcPr>
            <w:tcW w:type="dxa" w:w="3102"/>
          </w:tcPr>
          <w:p>
            <w:r>
              <w:t>true</w:t>
            </w:r>
          </w:p>
        </w:tc>
      </w:tr>
      <w:tr>
        <w:tc>
          <w:tcPr>
            <w:tcW w:type="dxa" w:w="3102"/>
            <w:shd w:val="clear" w:fill="EAF1ED"/>
          </w:tcPr>
          <w:p>
            <w:r>
              <w:t>NDVI start → end</w:t>
            </w:r>
          </w:p>
        </w:tc>
        <w:tc>
          <w:tcPr>
            <w:tcW w:type="dxa" w:w="3102"/>
            <w:shd w:val="clear" w:fill="EAF1ED"/>
          </w:tcPr>
          <w:p>
            <w:r>
              <w:t>n/a (solar)</w:t>
            </w:r>
          </w:p>
        </w:tc>
        <w:tc>
          <w:tcPr>
            <w:tcW w:type="dxa" w:w="3102"/>
            <w:shd w:val="clear" w:fill="EAF1ED"/>
          </w:tcPr>
          <w:p>
            <w:r>
              <w:t>0.404 → 0.476</w:t>
            </w:r>
          </w:p>
        </w:tc>
      </w:tr>
      <w:tr>
        <w:tc>
          <w:tcPr>
            <w:tcW w:type="dxa" w:w="3102"/>
          </w:tcPr>
          <w:p>
            <w:r>
              <w:t>NDVI trend (end − start)</w:t>
            </w:r>
          </w:p>
        </w:tc>
        <w:tc>
          <w:tcPr>
            <w:tcW w:type="dxa" w:w="3102"/>
          </w:tcPr>
          <w:p>
            <w:r>
              <w:t>n/a</w:t>
            </w:r>
          </w:p>
        </w:tc>
        <w:tc>
          <w:tcPr>
            <w:tcW w:type="dxa" w:w="3102"/>
          </w:tcPr>
          <w:p>
            <w:r>
              <w:t>+0.072 (endpoint — not robust; see slope)</w:t>
            </w:r>
          </w:p>
        </w:tc>
      </w:tr>
      <w:tr>
        <w:tc>
          <w:tcPr>
            <w:tcW w:type="dxa" w:w="3102"/>
            <w:shd w:val="clear" w:fill="EAF1ED"/>
          </w:tcPr>
          <w:p>
            <w:r>
              <w:t>NDVI annual slope /yr</w:t>
            </w:r>
          </w:p>
        </w:tc>
        <w:tc>
          <w:tcPr>
            <w:tcW w:type="dxa" w:w="3102"/>
            <w:shd w:val="clear" w:fill="EAF1ED"/>
          </w:tcPr>
          <w:p>
            <w:r>
              <w:t>n/a</w:t>
            </w:r>
          </w:p>
        </w:tc>
        <w:tc>
          <w:tcPr>
            <w:tcW w:type="dxa" w:w="3102"/>
            <w:shd w:val="clear" w:fill="EAF1ED"/>
          </w:tcPr>
          <w:p>
            <w:r>
              <w:t>−0.012</w:t>
            </w:r>
          </w:p>
        </w:tc>
      </w:tr>
      <w:tr>
        <w:tc>
          <w:tcPr>
            <w:tcW w:type="dxa" w:w="3102"/>
          </w:tcPr>
          <w:p>
            <w:r>
              <w:t>Vegetation change % (gain / loss)</w:t>
            </w:r>
          </w:p>
        </w:tc>
        <w:tc>
          <w:tcPr>
            <w:tcW w:type="dxa" w:w="3102"/>
          </w:tcPr>
          <w:p>
            <w:r>
              <w:t>0.1%</w:t>
            </w:r>
          </w:p>
        </w:tc>
        <w:tc>
          <w:tcPr>
            <w:tcW w:type="dxa" w:w="3102"/>
          </w:tcPr>
          <w:p>
            <w:r>
              <w:t>44% (39% gain / 4% loss) — bi-temporal 2019↔2024, noise-level; no significant trend</w:t>
            </w:r>
          </w:p>
        </w:tc>
      </w:tr>
      <w:tr>
        <w:tc>
          <w:tcPr>
            <w:tcW w:type="dxa" w:w="3102"/>
            <w:shd w:val="clear" w:fill="EAF1ED"/>
          </w:tcPr>
          <w:p>
            <w:r>
              <w:t>Carbon estimate (tCO₂e)</w:t>
            </w:r>
          </w:p>
        </w:tc>
        <w:tc>
          <w:tcPr>
            <w:tcW w:type="dxa" w:w="3102"/>
            <w:shd w:val="clear" w:fill="EAF1ED"/>
          </w:tcPr>
          <w:p>
            <w:r>
              <w:t>n/a</w:t>
            </w:r>
          </w:p>
        </w:tc>
        <w:tc>
          <w:tcPr>
            <w:tcW w:type="dxa" w:w="3102"/>
            <w:shd w:val="clear" w:fill="EAF1ED"/>
          </w:tcPr>
          <w:p>
            <w:r>
              <w:t>8,667.7</w:t>
            </w:r>
          </w:p>
        </w:tc>
      </w:tr>
      <w:tr>
        <w:tc>
          <w:tcPr>
            <w:tcW w:type="dxa" w:w="3102"/>
          </w:tcPr>
          <w:p>
            <w:r>
              <w:t>Above-ground biomass (t/ha, ESA CCI)</w:t>
            </w:r>
          </w:p>
        </w:tc>
        <w:tc>
          <w:tcPr>
            <w:tcW w:type="dxa" w:w="3102"/>
          </w:tcPr>
          <w:p>
            <w:r>
              <w:t>n/a</w:t>
            </w:r>
          </w:p>
        </w:tc>
        <w:tc>
          <w:tcPr>
            <w:tcW w:type="dxa" w:w="3102"/>
          </w:tcPr>
          <w:p>
            <w:r>
              <w:t>28.3</w:t>
            </w:r>
          </w:p>
        </w:tc>
      </w:tr>
      <w:tr>
        <w:tc>
          <w:tcPr>
            <w:tcW w:type="dxa" w:w="3102"/>
            <w:shd w:val="clear" w:fill="EAF1ED"/>
          </w:tcPr>
          <w:p>
            <w:r>
              <w:t>Fire — Fosberg FFWI</w:t>
            </w:r>
          </w:p>
        </w:tc>
        <w:tc>
          <w:tcPr>
            <w:tcW w:type="dxa" w:w="3102"/>
            <w:shd w:val="clear" w:fill="EAF1ED"/>
          </w:tcPr>
          <w:p>
            <w:r>
              <w:t>18.4</w:t>
            </w:r>
          </w:p>
        </w:tc>
        <w:tc>
          <w:tcPr>
            <w:tcW w:type="dxa" w:w="3102"/>
            <w:shd w:val="clear" w:fill="EAF1ED"/>
          </w:tcPr>
          <w:p>
            <w:r>
              <w:t>3.8</w:t>
            </w:r>
          </w:p>
        </w:tc>
      </w:tr>
      <w:tr>
        <w:tc>
          <w:tcPr>
            <w:tcW w:type="dxa" w:w="3102"/>
          </w:tcPr>
          <w:p>
            <w:r>
              <w:t>Fire risk (FFWI × fuel, 0–100)</w:t>
            </w:r>
          </w:p>
        </w:tc>
        <w:tc>
          <w:tcPr>
            <w:tcW w:type="dxa" w:w="3102"/>
          </w:tcPr>
          <w:p>
            <w:r>
              <w:t>5</w:t>
            </w:r>
          </w:p>
        </w:tc>
        <w:tc>
          <w:tcPr>
            <w:tcW w:type="dxa" w:w="3102"/>
          </w:tcPr>
          <w:p>
            <w:r>
              <w:t>4</w:t>
            </w:r>
          </w:p>
        </w:tc>
      </w:tr>
      <w:tr>
        <w:tc>
          <w:tcPr>
            <w:tcW w:type="dxa" w:w="3102"/>
            <w:shd w:val="clear" w:fill="EAF1ED"/>
          </w:tcPr>
          <w:p>
            <w:r>
              <w:t>Fire severity — dNBR (class)</w:t>
            </w:r>
          </w:p>
        </w:tc>
        <w:tc>
          <w:tcPr>
            <w:tcW w:type="dxa" w:w="3102"/>
            <w:shd w:val="clear" w:fill="EAF1ED"/>
          </w:tcPr>
          <w:p>
            <w:r>
              <w:t>0.003 (Unburned)</w:t>
            </w:r>
          </w:p>
        </w:tc>
        <w:tc>
          <w:tcPr>
            <w:tcW w:type="dxa" w:w="3102"/>
            <w:shd w:val="clear" w:fill="EAF1ED"/>
          </w:tcPr>
          <w:p>
            <w:r>
              <w:t>−0.111 (Enhanced regrowth)</w:t>
            </w:r>
          </w:p>
        </w:tc>
      </w:tr>
      <w:tr>
        <w:tc>
          <w:tcPr>
            <w:tcW w:type="dxa" w:w="3102"/>
          </w:tcPr>
          <w:p>
            <w:r>
              <w:t>Flood — observed (Otsu)</w:t>
            </w:r>
          </w:p>
        </w:tc>
        <w:tc>
          <w:tcPr>
            <w:tcW w:type="dxa" w:w="3102"/>
          </w:tcPr>
          <w:p>
            <w:r>
              <w:t>0.0%</w:t>
            </w:r>
          </w:p>
        </w:tc>
        <w:tc>
          <w:tcPr>
            <w:tcW w:type="dxa" w:w="3102"/>
          </w:tcPr>
          <w:p>
            <w:r>
              <w:t>0.0%</w:t>
            </w:r>
          </w:p>
        </w:tc>
      </w:tr>
      <w:tr>
        <w:tc>
          <w:tcPr>
            <w:tcW w:type="dxa" w:w="3102"/>
            <w:shd w:val="clear" w:fill="EAF1ED"/>
          </w:tcPr>
          <w:p>
            <w:r>
              <w:t>Flood — 100-yr depth (Aqueduct)</w:t>
            </w:r>
          </w:p>
        </w:tc>
        <w:tc>
          <w:tcPr>
            <w:tcW w:type="dxa" w:w="3102"/>
            <w:shd w:val="clear" w:fill="EAF1ED"/>
          </w:tcPr>
          <w:p>
            <w:r>
              <w:t>0.000 m</w:t>
            </w:r>
          </w:p>
        </w:tc>
        <w:tc>
          <w:tcPr>
            <w:tcW w:type="dxa" w:w="3102"/>
            <w:shd w:val="clear" w:fill="EAF1ED"/>
          </w:tcPr>
          <w:p>
            <w:r>
              <w:t>0.093 m</w:t>
            </w:r>
          </w:p>
        </w:tc>
      </w:tr>
      <w:tr>
        <w:tc>
          <w:tcPr>
            <w:tcW w:type="dxa" w:w="3102"/>
          </w:tcPr>
          <w:p>
            <w:r>
              <w:t>Flood exposure damage (Huizinga)</w:t>
            </w:r>
          </w:p>
        </w:tc>
        <w:tc>
          <w:tcPr>
            <w:tcW w:type="dxa" w:w="3102"/>
          </w:tcPr>
          <w:p>
            <w:r>
              <w:t>0%</w:t>
            </w:r>
          </w:p>
        </w:tc>
        <w:tc>
          <w:tcPr>
            <w:tcW w:type="dxa" w:w="3102"/>
          </w:tcPr>
          <w:p>
            <w:r>
              <w:t>4.6%</w:t>
            </w:r>
          </w:p>
        </w:tc>
      </w:tr>
      <w:tr>
        <w:tc>
          <w:tcPr>
            <w:tcW w:type="dxa" w:w="3102"/>
            <w:shd w:val="clear" w:fill="EAF1ED"/>
          </w:tcPr>
          <w:p>
            <w:r>
              <w:t>Degradation hazard (0–100)</w:t>
            </w:r>
          </w:p>
        </w:tc>
        <w:tc>
          <w:tcPr>
            <w:tcW w:type="dxa" w:w="3102"/>
            <w:shd w:val="clear" w:fill="EAF1ED"/>
          </w:tcPr>
          <w:p>
            <w:r>
              <w:t>0</w:t>
            </w:r>
          </w:p>
        </w:tc>
        <w:tc>
          <w:tcPr>
            <w:tcW w:type="dxa" w:w="3102"/>
            <w:shd w:val="clear" w:fill="EAF1ED"/>
          </w:tcPr>
          <w:p>
            <w:r>
              <w:t>4</w:t>
            </w:r>
          </w:p>
        </w:tc>
      </w:tr>
      <w:tr>
        <w:tc>
          <w:tcPr>
            <w:tcW w:type="dxa" w:w="3102"/>
          </w:tcPr>
          <w:p>
            <w:r>
              <w:t>Community exposure (GHSL built-up)</w:t>
            </w:r>
          </w:p>
        </w:tc>
        <w:tc>
          <w:tcPr>
            <w:tcW w:type="dxa" w:w="3102"/>
          </w:tcPr>
          <w:p>
            <w:r>
              <w:t>0.00</w:t>
            </w:r>
          </w:p>
        </w:tc>
        <w:tc>
          <w:tcPr>
            <w:tcW w:type="dxa" w:w="3102"/>
          </w:tcPr>
          <w:p>
            <w:r>
              <w:t>0.03</w:t>
            </w:r>
          </w:p>
        </w:tc>
      </w:tr>
      <w:tr>
        <w:tc>
          <w:tcPr>
            <w:tcW w:type="dxa" w:w="3102"/>
            <w:shd w:val="clear" w:fill="EAF1ED"/>
          </w:tcPr>
          <w:p>
            <w:r>
              <w:t>Build signal — SAR backscatter Δ</w:t>
            </w:r>
          </w:p>
        </w:tc>
        <w:tc>
          <w:tcPr>
            <w:tcW w:type="dxa" w:w="3102"/>
            <w:shd w:val="clear" w:fill="EAF1ED"/>
          </w:tcPr>
          <w:p>
            <w:r>
              <w:t>+1.2 dB (detected)</w:t>
            </w:r>
          </w:p>
        </w:tc>
        <w:tc>
          <w:tcPr>
            <w:tcW w:type="dxa" w:w="3102"/>
            <w:shd w:val="clear" w:fill="EAF1ED"/>
          </w:tcPr>
          <w:p>
            <w:r>
              <w:t>n/a (vegetation asset — build detection applies to infrastructure only)</w:t>
            </w:r>
          </w:p>
        </w:tc>
      </w:tr>
      <w:tr>
        <w:tc>
          <w:tcPr>
            <w:tcW w:type="dxa" w:w="3102"/>
          </w:tcPr>
          <w:p>
            <w:r>
              <w:t>Annual GHI (kWh/m²/yr, ERA5)</w:t>
            </w:r>
          </w:p>
        </w:tc>
        <w:tc>
          <w:tcPr>
            <w:tcW w:type="dxa" w:w="3102"/>
          </w:tcPr>
          <w:p>
            <w:r>
              <w:t>1,869</w:t>
            </w:r>
          </w:p>
        </w:tc>
        <w:tc>
          <w:tcPr>
            <w:tcW w:type="dxa" w:w="3102"/>
          </w:tcPr>
          <w:p>
            <w:r>
              <w:t>n/a</w:t>
            </w:r>
          </w:p>
        </w:tc>
      </w:tr>
      <w:tr>
        <w:tc>
          <w:tcPr>
            <w:tcW w:type="dxa" w:w="3102"/>
            <w:shd w:val="clear" w:fill="EAF1ED"/>
          </w:tcPr>
          <w:p>
            <w:r>
              <w:t>Est. generation — PVWatts (GWh/yr)</w:t>
            </w:r>
          </w:p>
        </w:tc>
        <w:tc>
          <w:tcPr>
            <w:tcW w:type="dxa" w:w="3102"/>
            <w:shd w:val="clear" w:fill="EAF1ED"/>
          </w:tcPr>
          <w:p>
            <w:r>
              <w:t>150 (fixed) – 194 (tracking)</w:t>
            </w:r>
          </w:p>
        </w:tc>
        <w:tc>
          <w:tcPr>
            <w:tcW w:type="dxa" w:w="3102"/>
            <w:shd w:val="clear" w:fill="EAF1ED"/>
          </w:tcPr>
          <w:p>
            <w:r>
              <w:t>n/a</w:t>
            </w:r>
          </w:p>
        </w:tc>
      </w:tr>
      <w:tr>
        <w:tc>
          <w:tcPr>
            <w:tcW w:type="dxa" w:w="3102"/>
          </w:tcPr>
          <w:p>
            <w:r>
              <w:t>Est. avoided emissions (tCO₂/yr, PVWatts × grid factor)</w:t>
            </w:r>
          </w:p>
        </w:tc>
        <w:tc>
          <w:tcPr>
            <w:tcW w:type="dxa" w:w="3102"/>
          </w:tcPr>
          <w:p>
            <w:r>
              <w:t>82k – 107k</w:t>
            </w:r>
          </w:p>
        </w:tc>
        <w:tc>
          <w:tcPr>
            <w:tcW w:type="dxa" w:w="3102"/>
          </w:tcPr>
          <w:p>
            <w:r>
              <w:t>n/a</w:t>
            </w:r>
          </w:p>
        </w:tc>
      </w:tr>
    </w:tbl>
    <w:p/>
    <w:p>
      <w:r>
        <w:t>Mikoko NDVI annual trajectory (same season each year): 2019 = 0.40, 2020 = 0.63, 2021 = 0.45, 2022 = 0.38, 2023 = 0.39, 2024 = 0.48 (slope −0.012/yr — noisy, roughly flat: a mature, stable mangrove).</w:t>
      </w:r>
    </w:p>
    <w:p>
      <w:pPr>
        <w:pStyle w:val="Heading1"/>
      </w:pPr>
      <w:r>
        <w:t>2 · Metric definitions (plain English)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653"/>
        <w:gridCol w:w="4653"/>
      </w:tblGrid>
      <w:tr>
        <w:tc>
          <w:tcPr>
            <w:tcW w:type="dxa" w:w="4653"/>
            <w:shd w:val="clear" w:fill="0F5233"/>
          </w:tcPr>
          <w:p>
            <w:r/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653"/>
            <w:shd w:val="clear" w:fill="0F5233"/>
          </w:tcPr>
          <w:p>
            <w:r/>
            <w:r>
              <w:rPr>
                <w:b/>
                <w:color w:val="FFFFFF"/>
              </w:rPr>
              <w:t>What it means</w:t>
            </w:r>
          </w:p>
        </w:tc>
      </w:tr>
      <w:tr>
        <w:tc>
          <w:tcPr>
            <w:tcW w:type="dxa" w:w="4653"/>
          </w:tcPr>
          <w:p>
            <w:r>
              <w:t>AOI area</w:t>
            </w:r>
          </w:p>
        </w:tc>
        <w:tc>
          <w:tcPr>
            <w:tcW w:type="dxa" w:w="4653"/>
          </w:tcPr>
          <w:p>
            <w:r>
              <w:t>Size of the analyzed boundary, in hectares.</w:t>
            </w:r>
          </w:p>
        </w:tc>
      </w:tr>
      <w:tr>
        <w:tc>
          <w:tcPr>
            <w:tcW w:type="dxa" w:w="4653"/>
            <w:shd w:val="clear" w:fill="EAF1ED"/>
          </w:tcPr>
          <w:p>
            <w:r>
              <w:t>Sentinel-2 scenes (before/after)</w:t>
            </w:r>
          </w:p>
        </w:tc>
        <w:tc>
          <w:tcPr>
            <w:tcW w:type="dxa" w:w="4653"/>
            <w:shd w:val="clear" w:fill="EAF1ED"/>
          </w:tcPr>
          <w:p>
            <w:r>
              <w:t>Number of usable, cloud-filtered optical images per window. More = cleaner composite (minimum 3).</w:t>
            </w:r>
          </w:p>
        </w:tc>
      </w:tr>
      <w:tr>
        <w:tc>
          <w:tcPr>
            <w:tcW w:type="dxa" w:w="4653"/>
          </w:tcPr>
          <w:p>
            <w:r>
              <w:t>Screening status</w:t>
            </w:r>
          </w:p>
        </w:tc>
        <w:tc>
          <w:tcPr>
            <w:tcW w:type="dxa" w:w="4653"/>
          </w:tcPr>
          <w:p>
            <w:r>
              <w:t>The verdict: Consistent / Partially / Inconsistent / Insufficient data.</w:t>
            </w:r>
          </w:p>
        </w:tc>
      </w:tr>
      <w:tr>
        <w:tc>
          <w:tcPr>
            <w:tcW w:type="dxa" w:w="4653"/>
            <w:shd w:val="clear" w:fill="EAF1ED"/>
          </w:tcPr>
          <w:p>
            <w:r>
              <w:t>Risk score / band</w:t>
            </w:r>
          </w:p>
        </w:tc>
        <w:tc>
          <w:tcPr>
            <w:tcW w:type="dxa" w:w="4653"/>
            <w:shd w:val="clear" w:fill="EAF1ED"/>
          </w:tcPr>
          <w:p>
            <w:r>
              <w:t>0–100 physical-risk number + Low/Medium/High/Critical.</w:t>
            </w:r>
          </w:p>
        </w:tc>
      </w:tr>
      <w:tr>
        <w:tc>
          <w:tcPr>
            <w:tcW w:type="dxa" w:w="4653"/>
          </w:tcPr>
          <w:p>
            <w:r>
              <w:t>Confidence</w:t>
            </w:r>
          </w:p>
        </w:tc>
        <w:tc>
          <w:tcPr>
            <w:tcW w:type="dxa" w:w="4653"/>
          </w:tcPr>
          <w:p>
            <w:r>
              <w:t>0–1 trust level, from scene count + cloud-free pixel coverage.</w:t>
            </w:r>
          </w:p>
        </w:tc>
      </w:tr>
      <w:tr>
        <w:tc>
          <w:tcPr>
            <w:tcW w:type="dxa" w:w="4653"/>
            <w:shd w:val="clear" w:fill="EAF1ED"/>
          </w:tcPr>
          <w:p>
            <w:r>
              <w:t>Change detected</w:t>
            </w:r>
          </w:p>
        </w:tc>
        <w:tc>
          <w:tcPr>
            <w:tcW w:type="dxa" w:w="4653"/>
            <w:shd w:val="clear" w:fill="EAF1ED"/>
          </w:tcPr>
          <w:p>
            <w:r>
              <w:t>Whether meaningful change occurred (vegetation or build).</w:t>
            </w:r>
          </w:p>
        </w:tc>
      </w:tr>
      <w:tr>
        <w:tc>
          <w:tcPr>
            <w:tcW w:type="dxa" w:w="4653"/>
          </w:tcPr>
          <w:p>
            <w:r>
              <w:t>Human review recommended</w:t>
            </w:r>
          </w:p>
        </w:tc>
        <w:tc>
          <w:tcPr>
            <w:tcW w:type="dxa" w:w="4653"/>
          </w:tcPr>
          <w:p>
            <w:r>
              <w:t>Flag: a person should check (low confidence or lots of change).</w:t>
            </w:r>
          </w:p>
        </w:tc>
      </w:tr>
      <w:tr>
        <w:tc>
          <w:tcPr>
            <w:tcW w:type="dxa" w:w="4653"/>
            <w:shd w:val="clear" w:fill="EAF1ED"/>
          </w:tcPr>
          <w:p>
            <w:r>
              <w:t>NDVI start → end</w:t>
            </w:r>
          </w:p>
        </w:tc>
        <w:tc>
          <w:tcPr>
            <w:tcW w:type="dxa" w:w="4653"/>
            <w:shd w:val="clear" w:fill="EAF1ED"/>
          </w:tcPr>
          <w:p>
            <w:r>
              <w:t>Mean greenness at the start vs end window.</w:t>
            </w:r>
          </w:p>
        </w:tc>
      </w:tr>
      <w:tr>
        <w:tc>
          <w:tcPr>
            <w:tcW w:type="dxa" w:w="4653"/>
          </w:tcPr>
          <w:p>
            <w:r>
              <w:t>NDVI trend / annual slope</w:t>
            </w:r>
          </w:p>
        </w:tc>
        <w:tc>
          <w:tcPr>
            <w:tcW w:type="dxa" w:w="4653"/>
          </w:tcPr>
          <w:p>
            <w:r>
              <w:t>Two-point change / trend fit through all yearly points (more robust).</w:t>
            </w:r>
          </w:p>
        </w:tc>
      </w:tr>
      <w:tr>
        <w:tc>
          <w:tcPr>
            <w:tcW w:type="dxa" w:w="4653"/>
            <w:shd w:val="clear" w:fill="EAF1ED"/>
          </w:tcPr>
          <w:p>
            <w:r>
              <w:t>Vegetation change % (gain/loss)</w:t>
            </w:r>
          </w:p>
        </w:tc>
        <w:tc>
          <w:tcPr>
            <w:tcW w:type="dxa" w:w="4653"/>
            <w:shd w:val="clear" w:fill="EAF1ED"/>
          </w:tcPr>
          <w:p>
            <w:r>
              <w:t>% of area whose greenness changed, split into growth vs loss.</w:t>
            </w:r>
          </w:p>
        </w:tc>
      </w:tr>
      <w:tr>
        <w:tc>
          <w:tcPr>
            <w:tcW w:type="dxa" w:w="4653"/>
          </w:tcPr>
          <w:p>
            <w:r>
              <w:t>Carbon estimate</w:t>
            </w:r>
          </w:p>
        </w:tc>
        <w:tc>
          <w:tcPr>
            <w:tcW w:type="dxa" w:w="4653"/>
          </w:tcPr>
          <w:p>
            <w:r>
              <w:t>Estimated stored carbon, tonnes CO₂-equivalent (from biomass).</w:t>
            </w:r>
          </w:p>
        </w:tc>
      </w:tr>
      <w:tr>
        <w:tc>
          <w:tcPr>
            <w:tcW w:type="dxa" w:w="4653"/>
            <w:shd w:val="clear" w:fill="EAF1ED"/>
          </w:tcPr>
          <w:p>
            <w:r>
              <w:t>Above-ground biomass</w:t>
            </w:r>
          </w:p>
        </w:tc>
        <w:tc>
          <w:tcPr>
            <w:tcW w:type="dxa" w:w="4653"/>
            <w:shd w:val="clear" w:fill="EAF1ED"/>
          </w:tcPr>
          <w:p>
            <w:r>
              <w:t>Biomass density (t/ha) from ESA CCI — the input to carbon.</w:t>
            </w:r>
          </w:p>
        </w:tc>
      </w:tr>
      <w:tr>
        <w:tc>
          <w:tcPr>
            <w:tcW w:type="dxa" w:w="4653"/>
          </w:tcPr>
          <w:p>
            <w:r>
              <w:t>Fire — Fosberg FFWI</w:t>
            </w:r>
          </w:p>
        </w:tc>
        <w:tc>
          <w:tcPr>
            <w:tcW w:type="dxa" w:w="4653"/>
          </w:tcPr>
          <w:p>
            <w:r>
              <w:t>Fire-WEATHER danger (0–100) from temperature, humidity, wind.</w:t>
            </w:r>
          </w:p>
        </w:tc>
      </w:tr>
      <w:tr>
        <w:tc>
          <w:tcPr>
            <w:tcW w:type="dxa" w:w="4653"/>
            <w:shd w:val="clear" w:fill="EAF1ED"/>
          </w:tcPr>
          <w:p>
            <w:r>
              <w:t>Fire risk (FFWI × fuel, 0–100)</w:t>
            </w:r>
          </w:p>
        </w:tc>
        <w:tc>
          <w:tcPr>
            <w:tcW w:type="dxa" w:w="4653"/>
            <w:shd w:val="clear" w:fill="EAF1ED"/>
          </w:tcPr>
          <w:p>
            <w:r>
              <w:t>That danger scaled by fuel present (vegetation to burn).</w:t>
            </w:r>
          </w:p>
        </w:tc>
      </w:tr>
      <w:tr>
        <w:tc>
          <w:tcPr>
            <w:tcW w:type="dxa" w:w="4653"/>
          </w:tcPr>
          <w:p>
            <w:r>
              <w:t>Fire severity — dNBR</w:t>
            </w:r>
          </w:p>
        </w:tc>
        <w:tc>
          <w:tcPr>
            <w:tcW w:type="dxa" w:w="4653"/>
          </w:tcPr>
          <w:p>
            <w:r>
              <w:t>Did an actual fire BURN between the dates. Negative = vegetation gained.</w:t>
            </w:r>
          </w:p>
        </w:tc>
      </w:tr>
      <w:tr>
        <w:tc>
          <w:tcPr>
            <w:tcW w:type="dxa" w:w="4653"/>
            <w:shd w:val="clear" w:fill="EAF1ED"/>
          </w:tcPr>
          <w:p>
            <w:r>
              <w:t>Flood — observed (Otsu)</w:t>
            </w:r>
          </w:p>
        </w:tc>
        <w:tc>
          <w:tcPr>
            <w:tcW w:type="dxa" w:w="4653"/>
            <w:shd w:val="clear" w:fill="EAF1ED"/>
          </w:tcPr>
          <w:p>
            <w:r>
              <w:t>% of area ACTUALLY newly flooded in the window.</w:t>
            </w:r>
          </w:p>
        </w:tc>
      </w:tr>
      <w:tr>
        <w:tc>
          <w:tcPr>
            <w:tcW w:type="dxa" w:w="4653"/>
          </w:tcPr>
          <w:p>
            <w:r>
              <w:t>Flood — 100-yr depth (Aqueduct)</w:t>
            </w:r>
          </w:p>
        </w:tc>
        <w:tc>
          <w:tcPr>
            <w:tcW w:type="dxa" w:w="4653"/>
          </w:tcPr>
          <w:p>
            <w:r>
              <w:t>Forward-looking: how deep a 1-in-100-year flood would be here.</w:t>
            </w:r>
          </w:p>
        </w:tc>
      </w:tr>
      <w:tr>
        <w:tc>
          <w:tcPr>
            <w:tcW w:type="dxa" w:w="4653"/>
            <w:shd w:val="clear" w:fill="EAF1ED"/>
          </w:tcPr>
          <w:p>
            <w:r>
              <w:t>Flood exposure damage (Huizinga)</w:t>
            </w:r>
          </w:p>
        </w:tc>
        <w:tc>
          <w:tcPr>
            <w:tcW w:type="dxa" w:w="4653"/>
            <w:shd w:val="clear" w:fill="EAF1ED"/>
          </w:tcPr>
          <w:p>
            <w:r>
              <w:t>That depth converted to % damage via the depth→damage curve (the flood risk sub-score).</w:t>
            </w:r>
          </w:p>
        </w:tc>
      </w:tr>
      <w:tr>
        <w:tc>
          <w:tcPr>
            <w:tcW w:type="dxa" w:w="4653"/>
          </w:tcPr>
          <w:p>
            <w:r>
              <w:t>Degradation hazard (0–100)</w:t>
            </w:r>
          </w:p>
        </w:tc>
        <w:tc>
          <w:tcPr>
            <w:tcW w:type="dxa" w:w="4653"/>
          </w:tcPr>
          <w:p>
            <w:r>
              <w:t>Risk sub-score from vegetation LOSS (% of area lost).</w:t>
            </w:r>
          </w:p>
        </w:tc>
      </w:tr>
      <w:tr>
        <w:tc>
          <w:tcPr>
            <w:tcW w:type="dxa" w:w="4653"/>
            <w:shd w:val="clear" w:fill="EAF1ED"/>
          </w:tcPr>
          <w:p>
            <w:r>
              <w:t>Community exposure (GHSL)</w:t>
            </w:r>
          </w:p>
        </w:tc>
        <w:tc>
          <w:tcPr>
            <w:tcW w:type="dxa" w:w="4653"/>
            <w:shd w:val="clear" w:fill="EAF1ED"/>
          </w:tcPr>
          <w:p>
            <w:r>
              <w:t>How much settlement/buildings are nearby (context, not merged into the score).</w:t>
            </w:r>
          </w:p>
        </w:tc>
      </w:tr>
      <w:tr>
        <w:tc>
          <w:tcPr>
            <w:tcW w:type="dxa" w:w="4653"/>
          </w:tcPr>
          <w:p>
            <w:r>
              <w:t>Build signal — SAR Δ</w:t>
            </w:r>
          </w:p>
        </w:tc>
        <w:tc>
          <w:tcPr>
            <w:tcW w:type="dxa" w:w="4653"/>
          </w:tcPr>
          <w:p>
            <w:r>
              <w:t>Radar-brightness change that detects construction.</w:t>
            </w:r>
          </w:p>
        </w:tc>
      </w:tr>
      <w:tr>
        <w:tc>
          <w:tcPr>
            <w:tcW w:type="dxa" w:w="4653"/>
            <w:shd w:val="clear" w:fill="EAF1ED"/>
          </w:tcPr>
          <w:p>
            <w:r>
              <w:t>Annual GHI</w:t>
            </w:r>
          </w:p>
        </w:tc>
        <w:tc>
          <w:tcPr>
            <w:tcW w:type="dxa" w:w="4653"/>
            <w:shd w:val="clear" w:fill="EAF1ED"/>
          </w:tcPr>
          <w:p>
            <w:r>
              <w:t>Yearly solar energy reaching the ground (kWh/m²), from ERA5.</w:t>
            </w:r>
          </w:p>
        </w:tc>
      </w:tr>
      <w:tr>
        <w:tc>
          <w:tcPr>
            <w:tcW w:type="dxa" w:w="4653"/>
          </w:tcPr>
          <w:p>
            <w:r>
              <w:t>Est. generation (PVWatts)</w:t>
            </w:r>
          </w:p>
        </w:tc>
        <w:tc>
          <w:tcPr>
            <w:tcW w:type="dxa" w:w="4653"/>
          </w:tcPr>
          <w:p>
            <w:r>
              <w:t>Modeled expected output (capacity × solar resource) — an ESTIMATE, not a measurement.</w:t>
            </w:r>
          </w:p>
        </w:tc>
      </w:tr>
      <w:tr>
        <w:tc>
          <w:tcPr>
            <w:tcW w:type="dxa" w:w="4653"/>
          </w:tcPr>
          <w:p>
            <w:r>
              <w:t>Est. avoided emissions</w:t>
            </w:r>
          </w:p>
        </w:tc>
        <w:tc>
          <w:tcPr>
            <w:tcW w:type="dxa" w:w="4653"/>
          </w:tcPr>
          <w:p>
            <w:r>
              <w:t>Modeled avoided emissions = generation estimate × grid emission factor — an ESTIMATE.</w:t>
            </w:r>
          </w:p>
        </w:tc>
      </w:tr>
    </w:tbl>
    <w:p/>
    <w:p>
      <w:pPr>
        <w:pStyle w:val="Heading1"/>
      </w:pPr>
      <w:r>
        <w:t>3 · Accuracy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653"/>
        <w:gridCol w:w="4653"/>
      </w:tblGrid>
      <w:tr>
        <w:tc>
          <w:tcPr>
            <w:tcW w:type="dxa" w:w="4653"/>
            <w:shd w:val="clear" w:fill="0F5233"/>
          </w:tcPr>
          <w:p>
            <w:r/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653"/>
            <w:shd w:val="clear" w:fill="0F5233"/>
          </w:tcPr>
          <w:p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653"/>
          </w:tcPr>
          <w:p>
            <w:r>
              <w:t>Mikoko carbon vs reported credits</w:t>
            </w:r>
          </w:p>
        </w:tc>
        <w:tc>
          <w:tcPr>
            <w:tcW w:type="dxa" w:w="4653"/>
          </w:tcPr>
          <w:p>
            <w:r>
              <w:t>8,668 tCO₂e vs ~9,880 — within ~12%</w:t>
            </w:r>
          </w:p>
        </w:tc>
      </w:tr>
      <w:tr>
        <w:tc>
          <w:tcPr>
            <w:tcW w:type="dxa" w:w="4653"/>
            <w:shd w:val="clear" w:fill="EAF1ED"/>
          </w:tcPr>
          <w:p>
            <w:r>
              <w:t>Nur Navoi build vs reported (2021)</w:t>
            </w:r>
          </w:p>
        </w:tc>
        <w:tc>
          <w:tcPr>
            <w:tcW w:type="dxa" w:w="4653"/>
            <w:shd w:val="clear" w:fill="EAF1ED"/>
          </w:tcPr>
          <w:p>
            <w:r>
              <w:t>Detected (+1.2 dB), consistent with 2021</w:t>
            </w:r>
          </w:p>
        </w:tc>
      </w:tr>
      <w:tr>
        <w:tc>
          <w:tcPr>
            <w:tcW w:type="dxa" w:w="4653"/>
          </w:tcPr>
          <w:p>
            <w:r>
              <w:t>Nur Navoi generation (PVWatts estimate)</w:t>
            </w:r>
          </w:p>
        </w:tc>
        <w:tc>
          <w:tcPr>
            <w:tcW w:type="dxa" w:w="4653"/>
          </w:tcPr>
          <w:p>
            <w:r>
              <w:t>150–194 GWh/yr vs reported 270 — our estimate is a conservative lower bound (horizontal GHI, no tilt/tracking); the gap reflects tilt/tracking, not over-reporting</w:t>
            </w:r>
          </w:p>
        </w:tc>
      </w:tr>
      <w:tr>
        <w:tc>
          <w:tcPr>
            <w:tcW w:type="dxa" w:w="4653"/>
            <w:shd w:val="clear" w:fill="EAF1ED"/>
          </w:tcPr>
          <w:p>
            <w:r>
              <w:t>Emissions avoided (tCO₂/yr)</w:t>
            </w:r>
          </w:p>
        </w:tc>
        <w:tc>
          <w:tcPr>
            <w:tcW w:type="dxa" w:w="4653"/>
            <w:shd w:val="clear" w:fill="EAF1ED"/>
          </w:tcPr>
          <w:p>
            <w:r>
              <w:t>Our estimate ≈ 82–107k tCO₂/yr (generation × CDM Uzbekistan grid factor) vs reported 156k — a conservative lower bound, tracking our generation estimate</w:t>
            </w:r>
          </w:p>
        </w:tc>
      </w:tr>
      <w:tr>
        <w:tc>
          <w:tcPr>
            <w:tcW w:type="dxa" w:w="4653"/>
          </w:tcPr>
          <w:p>
            <w:r>
              <w:t>Biodiversity</w:t>
            </w:r>
          </w:p>
        </w:tc>
        <w:tc>
          <w:tcPr>
            <w:tcW w:type="dxa" w:w="4653"/>
          </w:tcPr>
          <w:p>
            <w:r>
              <w:t>Not observable from Sentinel — proxies only</w:t>
            </w:r>
          </w:p>
        </w:tc>
      </w:tr>
    </w:tbl>
    <w:p/>
    <w:p>
      <w:pPr>
        <w:pStyle w:val="Heading1"/>
      </w:pPr>
      <w:r>
        <w:t>4 · Benchmark vs reported figures</w:t>
      </w:r>
    </w:p>
    <w:p>
      <w:pPr>
        <w:pStyle w:val="Heading2"/>
      </w:pPr>
      <w:r>
        <w:t>Mikoko Pamoja (mangrove)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02"/>
        <w:gridCol w:w="3102"/>
        <w:gridCol w:w="3102"/>
      </w:tblGrid>
      <w:tr>
        <w:tc>
          <w:tcPr>
            <w:tcW w:type="dxa" w:w="3102"/>
            <w:shd w:val="clear" w:fill="0F5233"/>
          </w:tcPr>
          <w:p>
            <w:r>
              <w:t>Our observation</w:t>
            </w:r>
          </w:p>
        </w:tc>
        <w:tc>
          <w:tcPr>
            <w:tcW w:type="dxa" w:w="3102"/>
            <w:shd w:val="clear" w:fill="0F5233"/>
          </w:tcPr>
          <w:p>
            <w:r>
              <w:t>Benchmark</w:t>
            </w:r>
          </w:p>
        </w:tc>
        <w:tc>
          <w:tcPr>
            <w:tcW w:type="dxa" w:w="3102"/>
            <w:shd w:val="clear" w:fill="0F5233"/>
          </w:tcPr>
          <w:p>
            <w:r/>
            <w:r>
              <w:rPr>
                <w:b/>
                <w:color w:val="FFFFFF"/>
              </w:rPr>
              <w:t>Near / far</w:t>
            </w:r>
          </w:p>
        </w:tc>
      </w:tr>
      <w:tr>
        <w:tc>
          <w:tcPr>
            <w:tcW w:type="dxa" w:w="3102"/>
          </w:tcPr>
          <w:p>
            <w:r>
              <w:t>AOI box ~177 ha; mangrove present</w:t>
            </w:r>
          </w:p>
        </w:tc>
        <w:tc>
          <w:tcPr>
            <w:tcW w:type="dxa" w:w="3102"/>
          </w:tcPr>
          <w:p>
            <w:r>
              <w:t>117 + 10 ha protected / restored</w:t>
            </w:r>
          </w:p>
        </w:tc>
        <w:tc>
          <w:tcPr>
            <w:tcW w:type="dxa" w:w="3102"/>
          </w:tcPr>
          <w:p>
            <w:r>
              <w:t>Same scale (box larger)</w:t>
            </w:r>
          </w:p>
        </w:tc>
      </w:tr>
      <w:tr>
        <w:tc>
          <w:tcPr>
            <w:tcW w:type="dxa" w:w="3102"/>
            <w:shd w:val="clear" w:fill="EAF1ED"/>
          </w:tcPr>
          <w:p>
            <w:r>
              <w:t>Carbon stock ~8,700 tCO₂e (ESA CCI)</w:t>
            </w:r>
          </w:p>
        </w:tc>
        <w:tc>
          <w:tcPr>
            <w:tcW w:type="dxa" w:w="3102"/>
            <w:shd w:val="clear" w:fill="EAF1ED"/>
          </w:tcPr>
          <w:p>
            <w:r>
              <w:t>~9,880 tCO₂ credits (2014–18)</w:t>
            </w:r>
          </w:p>
        </w:tc>
        <w:tc>
          <w:tcPr>
            <w:tcW w:type="dxa" w:w="3102"/>
            <w:shd w:val="clear" w:fill="EAF1ED"/>
          </w:tcPr>
          <w:p>
            <w:r>
              <w:t>Same order — stock vs credits differ</w:t>
            </w:r>
          </w:p>
        </w:tc>
      </w:tr>
      <w:tr>
        <w:tc>
          <w:tcPr>
            <w:tcW w:type="dxa" w:w="3102"/>
          </w:tcPr>
          <w:p>
            <w:r>
              <w:t>2019–24 NDVI roughly flat</w:t>
            </w:r>
          </w:p>
        </w:tc>
        <w:tc>
          <w:tcPr>
            <w:tcW w:type="dxa" w:w="3102"/>
          </w:tcPr>
          <w:p>
            <w:r>
              <w:t>Biomass doubled over 12 yr (to ~2018)</w:t>
            </w:r>
          </w:p>
        </w:tc>
        <w:tc>
          <w:tcPr>
            <w:tcW w:type="dxa" w:w="3102"/>
          </w:tcPr>
          <w:p>
            <w:r>
              <w:t>Our window post-dates the growth</w:t>
            </w:r>
          </w:p>
        </w:tc>
      </w:tr>
      <w:tr>
        <w:tc>
          <w:tcPr>
            <w:tcW w:type="dxa" w:w="3102"/>
            <w:shd w:val="clear" w:fill="EAF1ED"/>
          </w:tcPr>
          <w:p>
            <w:r>
              <w:t>39% gain / 4% loss; NDVI flat (slope -0.012/yr, within interannual noise); low risk</w:t>
            </w:r>
          </w:p>
        </w:tc>
        <w:tc>
          <w:tcPr>
            <w:tcW w:type="dxa" w:w="3102"/>
            <w:shd w:val="clear" w:fill="EAF1ED"/>
          </w:tcPr>
          <w:p>
            <w:r>
              <w:t>No deforestation / permanence</w:t>
            </w:r>
          </w:p>
        </w:tc>
        <w:tc>
          <w:tcPr>
            <w:tcW w:type="dxa" w:w="3102"/>
            <w:shd w:val="clear" w:fill="EAF1ED"/>
          </w:tcPr>
          <w:p>
            <w:r>
              <w:t>Partially consistent — no significant loss</w:t>
            </w:r>
          </w:p>
        </w:tc>
      </w:tr>
      <w:tr>
        <w:tc>
          <w:tcPr>
            <w:tcW w:type="dxa" w:w="3102"/>
          </w:tcPr>
          <w:p>
            <w:r>
              <w:t>Carbon aligned to Plan Vivo</w:t>
            </w:r>
          </w:p>
        </w:tc>
        <w:tc>
          <w:tcPr>
            <w:tcW w:type="dxa" w:w="3102"/>
          </w:tcPr>
          <w:p>
            <w:r>
              <w:t>Plan Vivo certified</w:t>
            </w:r>
          </w:p>
        </w:tc>
        <w:tc>
          <w:tcPr>
            <w:tcW w:type="dxa" w:w="3102"/>
          </w:tcPr>
          <w:p>
            <w:r>
              <w:t>Method-aligned</w:t>
            </w:r>
          </w:p>
        </w:tc>
      </w:tr>
    </w:tbl>
    <w:p/>
    <w:p>
      <w:r>
        <w:rPr>
          <w:i/>
          <w:sz w:val="16"/>
        </w:rPr>
        <w:t>Sources for reported figures (confirm each): Plan Vivo — Mikoko Pamoja (Kenya) project page and the project's Plan Vivo design document / annual reports (planvivo.org/projects/mikoko-pamoja-kenya).</w:t>
      </w:r>
    </w:p>
    <w:p>
      <w:pPr>
        <w:pStyle w:val="Heading2"/>
      </w:pPr>
      <w:r>
        <w:t>Nur Navoi (solar)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02"/>
        <w:gridCol w:w="3102"/>
        <w:gridCol w:w="3102"/>
      </w:tblGrid>
      <w:tr>
        <w:tc>
          <w:tcPr>
            <w:tcW w:type="dxa" w:w="3102"/>
            <w:shd w:val="clear" w:fill="0F5233"/>
          </w:tcPr>
          <w:p>
            <w:r>
              <w:t>Our observation</w:t>
            </w:r>
          </w:p>
        </w:tc>
        <w:tc>
          <w:tcPr>
            <w:tcW w:type="dxa" w:w="3102"/>
            <w:shd w:val="clear" w:fill="0F5233"/>
          </w:tcPr>
          <w:p>
            <w:r>
              <w:t>Benchmark</w:t>
            </w:r>
          </w:p>
        </w:tc>
        <w:tc>
          <w:tcPr>
            <w:tcW w:type="dxa" w:w="3102"/>
            <w:shd w:val="clear" w:fill="0F5233"/>
          </w:tcPr>
          <w:p>
            <w:r/>
            <w:r>
              <w:rPr>
                <w:b/>
                <w:color w:val="FFFFFF"/>
              </w:rPr>
              <w:t>Near / far</w:t>
            </w:r>
          </w:p>
        </w:tc>
      </w:tr>
      <w:tr>
        <w:tc>
          <w:tcPr>
            <w:tcW w:type="dxa" w:w="3102"/>
          </w:tcPr>
          <w:p>
            <w:r>
              <w:t>Build detected (+1.2 dB); panels visible</w:t>
            </w:r>
          </w:p>
        </w:tc>
        <w:tc>
          <w:tcPr>
            <w:tcW w:type="dxa" w:w="3102"/>
          </w:tcPr>
          <w:p>
            <w:r>
              <w:t>100 MW built, operational Aug 2021</w:t>
            </w:r>
          </w:p>
        </w:tc>
        <w:tc>
          <w:tcPr>
            <w:tcW w:type="dxa" w:w="3102"/>
          </w:tcPr>
          <w:p>
            <w:r>
              <w:t>Confirmed</w:t>
            </w:r>
          </w:p>
        </w:tc>
      </w:tr>
      <w:tr>
        <w:tc>
          <w:tcPr>
            <w:tcW w:type="dxa" w:w="3102"/>
            <w:shd w:val="clear" w:fill="EAF1ED"/>
          </w:tcPr>
          <w:p>
            <w:r>
              <w:t>Backscatter rises 2019→2024</w:t>
            </w:r>
          </w:p>
        </w:tc>
        <w:tc>
          <w:tcPr>
            <w:tcW w:type="dxa" w:w="3102"/>
            <w:shd w:val="clear" w:fill="EAF1ED"/>
          </w:tcPr>
          <w:p>
            <w:r>
              <w:t>Operational since 2021</w:t>
            </w:r>
          </w:p>
        </w:tc>
        <w:tc>
          <w:tcPr>
            <w:tcW w:type="dxa" w:w="3102"/>
            <w:shd w:val="clear" w:fill="EAF1ED"/>
          </w:tcPr>
          <w:p>
            <w:r>
              <w:t>Consistent with 2021</w:t>
            </w:r>
          </w:p>
        </w:tc>
      </w:tr>
      <w:tr>
        <w:tc>
          <w:tcPr>
            <w:tcW w:type="dxa" w:w="3102"/>
          </w:tcPr>
          <w:p>
            <w:r>
              <w:t>PVWatts estimate 150–194 GWh/yr (100 MW + ERA5 GHI); conservative lower bound — horizontal GHI, no tilt/tracking/bifacial</w:t>
            </w:r>
          </w:p>
        </w:tc>
        <w:tc>
          <w:tcPr>
            <w:tcW w:type="dxa" w:w="3102"/>
          </w:tcPr>
          <w:p>
            <w:r>
              <w:t>~270 GWh/yr generation</w:t>
            </w:r>
          </w:p>
        </w:tc>
        <w:tc>
          <w:tcPr>
            <w:tcW w:type="dxa" w:w="3102"/>
          </w:tcPr>
          <w:p>
            <w:r>
              <w:t>Consistent — our PVWatts estimate is a conservative lower bound; the gap to 270 reflects our simplification (tilt / tracking / plane-of-array), not over-reporting</w:t>
            </w:r>
          </w:p>
        </w:tc>
      </w:tr>
      <w:tr>
        <w:tc>
          <w:tcPr>
            <w:tcW w:type="dxa" w:w="3102"/>
            <w:shd w:val="clear" w:fill="EAF1ED"/>
          </w:tcPr>
          <w:p>
            <w:r>
              <w:t>≈ 82–107k tCO₂/yr — our 150–194 GWh generation estimate × the published CDM grid emission factor for Uzbekistan; a conservative lower bound, tracking our lower-bound generation</w:t>
            </w:r>
          </w:p>
        </w:tc>
        <w:tc>
          <w:tcPr>
            <w:tcW w:type="dxa" w:w="3102"/>
            <w:shd w:val="clear" w:fill="EAF1ED"/>
          </w:tcPr>
          <w:p>
            <w:r>
              <w:t>~156,000 tCO₂/yr avoided</w:t>
            </w:r>
          </w:p>
        </w:tc>
        <w:tc>
          <w:tcPr>
            <w:tcW w:type="dxa" w:w="3102"/>
            <w:shd w:val="clear" w:fill="EAF1ED"/>
          </w:tcPr>
          <w:p>
            <w:r>
              <w:t>Consistent — tracks our conservative generation; the reported 270 GWh → 156k implies a grid factor just above the published CDM range for Uzbekistan</w:t>
            </w:r>
          </w:p>
        </w:tc>
      </w:tr>
      <w:tr>
        <w:tc>
          <w:tcPr>
            <w:tcW w:type="dxa" w:w="3102"/>
          </w:tcPr>
          <w:p>
            <w:r>
              <w:t>AOI box 545 ha; panels a subset</w:t>
            </w:r>
          </w:p>
        </w:tc>
        <w:tc>
          <w:tcPr>
            <w:tcW w:type="dxa" w:w="3102"/>
          </w:tcPr>
          <w:p>
            <w:r>
              <w:t>100 MW footprint (~150–250 ha expected)</w:t>
            </w:r>
          </w:p>
        </w:tc>
        <w:tc>
          <w:tcPr>
            <w:tcW w:type="dxa" w:w="3102"/>
          </w:tcPr>
          <w:p>
            <w:r>
              <w:t>Plausible; confirm footprint</w:t>
            </w:r>
          </w:p>
        </w:tc>
      </w:tr>
    </w:tbl>
    <w:p/>
    <w:p>
      <w:r>
        <w:rPr>
          <w:i/>
          <w:sz w:val="16"/>
        </w:rPr>
        <w:t>Sources for reported figures (confirm each): Masdar — 100 MW Nur Navoi Solar Project (masdar.ae); pv-magazine, “Uzbekistan flicks switch on 100 MW Nur Navoi solar plant” (1 Sep 2021); IFC / World Bank Group project documents.</w:t>
      </w:r>
    </w:p>
    <w:p>
      <w:r>
        <w:t>Biodiversity: not observable from Sentinel — needs hyperspectral or ground truth. We benchmark proxies only (habitat extent stable; NDVI no decline).</w:t>
      </w:r>
    </w:p>
    <w:sectPr w:rsidR="00F90C52">
      <w:footerReference w:type="default" r:id="rId17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4686" w:rsidRDefault="00934686">
      <w:r>
        <w:separator/>
      </w:r>
    </w:p>
  </w:endnote>
  <w:endnote w:type="continuationSeparator" w:id="0">
    <w:p w:rsidR="00934686" w:rsidRDefault="00934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90C52" w:rsidRDefault="00000000">
    <w:pPr>
      <w:pBdr>
        <w:top w:val="single" w:sz="4" w:space="6" w:color="C8E6D7"/>
      </w:pBdr>
      <w:jc w:val="center"/>
    </w:pPr>
    <w:r>
      <w:rPr>
        <w:color w:val="1A7A4A"/>
        <w:sz w:val="15"/>
        <w:szCs w:val="15"/>
      </w:rPr>
      <w:t xml:space="preserve">Canopy Scoring Methodology &amp; Provenance · Luna · Page </w:t>
    </w:r>
    <w:r>
      <w:rPr>
        <w:color w:val="1A7A4A"/>
        <w:sz w:val="15"/>
        <w:szCs w:val="15"/>
      </w:rPr>
      <w:fldChar w:fldCharType="begin"/>
    </w:r>
    <w:r>
      <w:rPr>
        <w:color w:val="1A7A4A"/>
        <w:sz w:val="15"/>
        <w:szCs w:val="15"/>
      </w:rPr>
      <w:instrText>PAGE</w:instrText>
    </w:r>
    <w:r>
      <w:rPr>
        <w:color w:val="1A7A4A"/>
        <w:sz w:val="15"/>
        <w:szCs w:val="15"/>
      </w:rPr>
      <w:fldChar w:fldCharType="separate"/>
    </w:r>
    <w:r w:rsidR="009803DC">
      <w:rPr>
        <w:noProof/>
        <w:color w:val="1A7A4A"/>
        <w:sz w:val="15"/>
        <w:szCs w:val="15"/>
      </w:rPr>
      <w:t>1</w:t>
    </w:r>
    <w:r>
      <w:rPr>
        <w:color w:val="1A7A4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4686" w:rsidRDefault="00934686">
      <w:r>
        <w:separator/>
      </w:r>
    </w:p>
  </w:footnote>
  <w:footnote w:type="continuationSeparator" w:id="0">
    <w:p w:rsidR="00934686" w:rsidRDefault="009346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53FBB"/>
    <w:multiLevelType w:val="hybridMultilevel"/>
    <w:tmpl w:val="6E34633E"/>
    <w:lvl w:ilvl="0" w:tplc="A20C0DBE">
      <w:start w:val="1"/>
      <w:numFmt w:val="bullet"/>
      <w:lvlText w:val="•"/>
      <w:lvlJc w:val="left"/>
      <w:pPr>
        <w:ind w:left="440" w:hanging="240"/>
      </w:pPr>
    </w:lvl>
    <w:lvl w:ilvl="1" w:tplc="A94E809C">
      <w:numFmt w:val="decimal"/>
      <w:lvlText w:val=""/>
      <w:lvlJc w:val="left"/>
    </w:lvl>
    <w:lvl w:ilvl="2" w:tplc="4B8830CA">
      <w:numFmt w:val="decimal"/>
      <w:lvlText w:val=""/>
      <w:lvlJc w:val="left"/>
    </w:lvl>
    <w:lvl w:ilvl="3" w:tplc="3340A2B6">
      <w:numFmt w:val="decimal"/>
      <w:lvlText w:val=""/>
      <w:lvlJc w:val="left"/>
    </w:lvl>
    <w:lvl w:ilvl="4" w:tplc="D180C340">
      <w:numFmt w:val="decimal"/>
      <w:lvlText w:val=""/>
      <w:lvlJc w:val="left"/>
    </w:lvl>
    <w:lvl w:ilvl="5" w:tplc="0BEEFAB6">
      <w:numFmt w:val="decimal"/>
      <w:lvlText w:val=""/>
      <w:lvlJc w:val="left"/>
    </w:lvl>
    <w:lvl w:ilvl="6" w:tplc="9B686148">
      <w:numFmt w:val="decimal"/>
      <w:lvlText w:val=""/>
      <w:lvlJc w:val="left"/>
    </w:lvl>
    <w:lvl w:ilvl="7" w:tplc="98FC8676">
      <w:numFmt w:val="decimal"/>
      <w:lvlText w:val=""/>
      <w:lvlJc w:val="left"/>
    </w:lvl>
    <w:lvl w:ilvl="8" w:tplc="D976FCDA">
      <w:numFmt w:val="decimal"/>
      <w:lvlText w:val=""/>
      <w:lvlJc w:val="left"/>
    </w:lvl>
  </w:abstractNum>
  <w:abstractNum w:abstractNumId="1" w15:restartNumberingAfterBreak="0">
    <w:nsid w:val="74BA5B46"/>
    <w:multiLevelType w:val="hybridMultilevel"/>
    <w:tmpl w:val="8B68B25A"/>
    <w:lvl w:ilvl="0" w:tplc="AA3C4F2E">
      <w:start w:val="1"/>
      <w:numFmt w:val="bullet"/>
      <w:lvlText w:val="●"/>
      <w:lvlJc w:val="left"/>
      <w:pPr>
        <w:ind w:left="720" w:hanging="360"/>
      </w:pPr>
    </w:lvl>
    <w:lvl w:ilvl="1" w:tplc="1D824F16">
      <w:start w:val="1"/>
      <w:numFmt w:val="bullet"/>
      <w:lvlText w:val="○"/>
      <w:lvlJc w:val="left"/>
      <w:pPr>
        <w:ind w:left="1440" w:hanging="360"/>
      </w:pPr>
    </w:lvl>
    <w:lvl w:ilvl="2" w:tplc="5CCEB0E0">
      <w:start w:val="1"/>
      <w:numFmt w:val="bullet"/>
      <w:lvlText w:val="■"/>
      <w:lvlJc w:val="left"/>
      <w:pPr>
        <w:ind w:left="2160" w:hanging="360"/>
      </w:pPr>
    </w:lvl>
    <w:lvl w:ilvl="3" w:tplc="1B3ACC28">
      <w:start w:val="1"/>
      <w:numFmt w:val="bullet"/>
      <w:lvlText w:val="●"/>
      <w:lvlJc w:val="left"/>
      <w:pPr>
        <w:ind w:left="2880" w:hanging="360"/>
      </w:pPr>
    </w:lvl>
    <w:lvl w:ilvl="4" w:tplc="B8F66D1E">
      <w:start w:val="1"/>
      <w:numFmt w:val="bullet"/>
      <w:lvlText w:val="○"/>
      <w:lvlJc w:val="left"/>
      <w:pPr>
        <w:ind w:left="3600" w:hanging="360"/>
      </w:pPr>
    </w:lvl>
    <w:lvl w:ilvl="5" w:tplc="AE42D0F8">
      <w:start w:val="1"/>
      <w:numFmt w:val="bullet"/>
      <w:lvlText w:val="■"/>
      <w:lvlJc w:val="left"/>
      <w:pPr>
        <w:ind w:left="4320" w:hanging="360"/>
      </w:pPr>
    </w:lvl>
    <w:lvl w:ilvl="6" w:tplc="3B00BEBE">
      <w:start w:val="1"/>
      <w:numFmt w:val="bullet"/>
      <w:lvlText w:val="●"/>
      <w:lvlJc w:val="left"/>
      <w:pPr>
        <w:ind w:left="5040" w:hanging="360"/>
      </w:pPr>
    </w:lvl>
    <w:lvl w:ilvl="7" w:tplc="323C941E">
      <w:start w:val="1"/>
      <w:numFmt w:val="bullet"/>
      <w:lvlText w:val="●"/>
      <w:lvlJc w:val="left"/>
      <w:pPr>
        <w:ind w:left="5760" w:hanging="360"/>
      </w:pPr>
    </w:lvl>
    <w:lvl w:ilvl="8" w:tplc="C9DCBA24">
      <w:start w:val="1"/>
      <w:numFmt w:val="bullet"/>
      <w:lvlText w:val="●"/>
      <w:lvlJc w:val="left"/>
      <w:pPr>
        <w:ind w:left="6480" w:hanging="360"/>
      </w:pPr>
    </w:lvl>
  </w:abstractNum>
  <w:num w:numId="1" w16cid:durableId="1156263147">
    <w:abstractNumId w:val="1"/>
    <w:lvlOverride w:ilvl="0">
      <w:startOverride w:val="1"/>
    </w:lvlOverride>
  </w:num>
  <w:num w:numId="2" w16cid:durableId="2378598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C52"/>
    <w:rsid w:val="00934686"/>
    <w:rsid w:val="009803DC"/>
    <w:rsid w:val="00F9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7E5C4ED4-3EF8-9D4F-B2B7-70A332803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3E50"/>
        <w:sz w:val="21"/>
        <w:szCs w:val="21"/>
        <w:lang w:val="en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10"/>
      <w:outlineLvl w:val="0"/>
    </w:pPr>
    <w:rPr>
      <w:b/>
      <w:bCs/>
      <w:color w:val="0F5233"/>
      <w:sz w:val="27"/>
      <w:szCs w:val="27"/>
    </w:rPr>
  </w:style>
  <w:style w:type="paragraph" w:styleId="Heading2">
    <w:name w:val="heading 2"/>
    <w:uiPriority w:val="9"/>
    <w:unhideWhenUsed/>
    <w:qFormat/>
    <w:pPr>
      <w:spacing w:before="170" w:after="85"/>
      <w:outlineLvl w:val="1"/>
    </w:pPr>
    <w:rPr>
      <w:b/>
      <w:bCs/>
      <w:color w:val="1A7A4A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ghsl.jrc.ec.europa.eu/" TargetMode="External"/><Relationship Id="rId13" Type="http://schemas.openxmlformats.org/officeDocument/2006/relationships/hyperlink" Target="https://www.wri.org/applications/aqueduct/water-risk-atlas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mkc.jrc.ec.europa.eu/inform-index/INFORM-Risk/Methodology" TargetMode="External"/><Relationship Id="rId12" Type="http://schemas.openxmlformats.org/officeDocument/2006/relationships/hyperlink" Target="https://un-spider.org/advisory-support/recommended-practices/recommended-practice-google-earth-engine-flood-mapping/step-by-step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iaasb.org/publications/international-standard-assurance-engagements-isae-3000-revised-assurance-engagements-other-audits-o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n-spider.org/advisory-support/recommended-practices/recommended-practice-burn-severity/in-detail/normalized-burn-ratio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verra.org/methodologies-main/" TargetMode="External"/><Relationship Id="rId10" Type="http://schemas.openxmlformats.org/officeDocument/2006/relationships/hyperlink" Target="https://www.nature.com/articles/s41597-020-0554-z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forest-fire.emergency.copernicus.eu/about-effis/technical-background/fire-danger-forecast" TargetMode="External"/><Relationship Id="rId14" Type="http://schemas.openxmlformats.org/officeDocument/2006/relationships/hyperlink" Target="https://iopscience.iop.org/article/10.1088/1748-9326/ad0b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1367</Words>
  <Characters>7793</Characters>
  <Application>Microsoft Office Word</Application>
  <DocSecurity>0</DocSecurity>
  <Lines>64</Lines>
  <Paragraphs>18</Paragraphs>
  <ScaleCrop>false</ScaleCrop>
  <Company/>
  <LinksUpToDate>false</LinksUpToDate>
  <CharactersWithSpaces>9142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Luna Rolland</cp:lastModifiedBy>
  <cp:revision>2</cp:revision>
  <dcterms:created xsi:type="dcterms:W3CDTF">2026-07-09T13:02:00Z</dcterms:created>
  <dcterms:modified xsi:type="dcterms:W3CDTF">2026-07-09T13:02:00Z</dcterms:modified>
</cp:coreProperties>
</file>