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111827"/>
          <w:sz w:val="46"/>
        </w:rPr>
        <w:t>DineHub Desktop Application</w:t>
      </w:r>
    </w:p>
    <w:p>
      <w:pPr>
        <w:spacing w:after="320"/>
      </w:pPr>
      <w:r>
        <w:rPr>
          <w:rFonts w:ascii="Calibri" w:hAnsi="Calibri"/>
          <w:b w:val="0"/>
          <w:i w:val="0"/>
          <w:color w:val="667085"/>
          <w:sz w:val="28"/>
        </w:rPr>
        <w:t>Feature Functionality and Backend API Connectivity Audit</w:t>
      </w:r>
    </w:p>
    <w:p>
      <w:pPr>
        <w:spacing w:after="40"/>
      </w:pPr>
      <w:r>
        <w:rPr>
          <w:rFonts w:ascii="Calibri" w:hAnsi="Calibri"/>
          <w:b/>
          <w:i w:val="0"/>
          <w:color w:val="111827"/>
          <w:sz w:val="21"/>
        </w:rPr>
        <w:t xml:space="preserve">Audit scope: </w:t>
      </w:r>
      <w:r>
        <w:rPr>
          <w:rFonts w:ascii="Calibri" w:hAnsi="Calibri"/>
          <w:b w:val="0"/>
          <w:i w:val="0"/>
          <w:color w:val="111827"/>
          <w:sz w:val="21"/>
        </w:rPr>
        <w:t>Complete desktop frontend, Electron API bridge, major application modules, and live API route availability</w:t>
      </w:r>
    </w:p>
    <w:p>
      <w:pPr>
        <w:spacing w:after="40"/>
      </w:pPr>
      <w:r>
        <w:rPr>
          <w:rFonts w:ascii="Calibri" w:hAnsi="Calibri"/>
          <w:b/>
          <w:i w:val="0"/>
          <w:color w:val="111827"/>
          <w:sz w:val="21"/>
        </w:rPr>
        <w:t xml:space="preserve">Backend: </w:t>
      </w:r>
      <w:r>
        <w:rPr>
          <w:rFonts w:ascii="Calibri" w:hAnsi="Calibri"/>
          <w:b w:val="0"/>
          <w:i w:val="0"/>
          <w:color w:val="111827"/>
          <w:sz w:val="21"/>
        </w:rPr>
        <w:t>https://dininghub.in/api/v1</w:t>
      </w:r>
    </w:p>
    <w:p>
      <w:pPr>
        <w:spacing w:after="40"/>
      </w:pPr>
      <w:r>
        <w:rPr>
          <w:rFonts w:ascii="Calibri" w:hAnsi="Calibri"/>
          <w:b/>
          <w:i w:val="0"/>
          <w:color w:val="111827"/>
          <w:sz w:val="21"/>
        </w:rPr>
        <w:t xml:space="preserve">Assessment date: </w:t>
      </w:r>
      <w:r>
        <w:rPr>
          <w:rFonts w:ascii="Calibri" w:hAnsi="Calibri"/>
          <w:b w:val="0"/>
          <w:i w:val="0"/>
          <w:color w:val="111827"/>
          <w:sz w:val="21"/>
        </w:rPr>
        <w:t>28 July 2026</w:t>
      </w:r>
    </w:p>
    <w:p>
      <w:pPr>
        <w:spacing w:after="40"/>
      </w:pPr>
      <w:r>
        <w:rPr>
          <w:rFonts w:ascii="Calibri" w:hAnsi="Calibri"/>
          <w:b/>
          <w:i w:val="0"/>
          <w:color w:val="111827"/>
          <w:sz w:val="21"/>
        </w:rPr>
        <w:t xml:space="preserve">Verification: </w:t>
      </w:r>
      <w:r>
        <w:rPr>
          <w:rFonts w:ascii="Calibri" w:hAnsi="Calibri"/>
          <w:b w:val="0"/>
          <w:i w:val="0"/>
          <w:color w:val="111827"/>
          <w:sz w:val="21"/>
        </w:rPr>
        <w:t>TypeScript, automated tests, Electron production build, and unauthenticated route probes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i w:val="0"/>
                <w:color w:val="1F4D78"/>
                <w:sz w:val="22"/>
              </w:rPr>
              <w:t xml:space="preserve">Executive finding: </w:t>
            </w:r>
            <w:r>
              <w:rPr>
                <w:rFonts w:ascii="Calibri" w:hAnsi="Calibri"/>
                <w:b w:val="0"/>
                <w:i w:val="0"/>
                <w:color w:val="111827"/>
                <w:sz w:val="22"/>
              </w:rPr>
              <w:t>The backend is online and its major routes exist. The main gaps are incomplete UI controls, local-only behavior, binary-download limitations in the Electron bridge, and a small number of live API contract mismatches.</w:t>
            </w:r>
          </w:p>
        </w:tc>
      </w:tr>
    </w:tbl>
    <w:p>
      <w:pPr>
        <w:pStyle w:val="Heading1"/>
      </w:pPr>
      <w:r>
        <w:t>1. Backend connectivity</w:t>
      </w:r>
    </w:p>
    <w:p>
      <w:r>
        <w:t>The configured API host responded successfully. The public plans endpoint returned HTTP 200 with valid JSON. Twenty-seven protected application endpoints returned HTTP 401 without credentials, which is the expected authentication response and confirms that those routes are deployed rather than missing.</w:t>
      </w:r>
    </w:p>
    <w:p>
      <w:pPr>
        <w:pStyle w:val="ListBullet"/>
        <w:spacing w:after="160" w:line="280" w:lineRule="auto"/>
        <w:ind w:left="720" w:hanging="360"/>
      </w:pPr>
      <w:r>
        <w:rPr>
          <w:rFonts w:ascii="Calibri" w:hAnsi="Calibri"/>
          <w:b w:val="0"/>
          <w:i w:val="0"/>
          <w:color w:val="111827"/>
          <w:sz w:val="22"/>
        </w:rPr>
        <w:t>API base URL is consistent across development and production environment files.</w:t>
      </w:r>
    </w:p>
    <w:p>
      <w:pPr>
        <w:pStyle w:val="ListBullet"/>
        <w:spacing w:after="160" w:line="280" w:lineRule="auto"/>
        <w:ind w:left="720" w:hanging="360"/>
      </w:pPr>
      <w:r>
        <w:rPr>
          <w:rFonts w:ascii="Calibri" w:hAnsi="Calibri"/>
          <w:b w:val="0"/>
          <w:i w:val="0"/>
          <w:color w:val="111827"/>
          <w:sz w:val="22"/>
        </w:rPr>
        <w:t>Authentication, tenant headers, token refresh, and request forwarding are implemented in the Electron main process.</w:t>
      </w:r>
    </w:p>
    <w:p>
      <w:pPr>
        <w:pStyle w:val="ListBullet"/>
        <w:spacing w:after="160" w:line="280" w:lineRule="auto"/>
        <w:ind w:left="720" w:hanging="360"/>
      </w:pPr>
      <w:r>
        <w:rPr>
          <w:rFonts w:ascii="Calibri" w:hAnsi="Calibri"/>
          <w:b w:val="0"/>
          <w:i w:val="0"/>
          <w:color w:val="111827"/>
          <w:sz w:val="22"/>
        </w:rPr>
        <w:t>Opening the renderer directly in a normal browser bypasses the Electron bridge and causes API requests to fail with “DineHub desktop bridge is unavailable.”</w:t>
      </w:r>
    </w:p>
    <w:p>
      <w:pPr>
        <w:pStyle w:val="ListBullet"/>
        <w:spacing w:after="160" w:line="280" w:lineRule="auto"/>
        <w:ind w:left="720" w:hanging="360"/>
      </w:pPr>
      <w:r>
        <w:rPr>
          <w:rFonts w:ascii="Calibri" w:hAnsi="Calibri"/>
          <w:b w:val="0"/>
          <w:i w:val="0"/>
          <w:color w:val="111827"/>
          <w:sz w:val="22"/>
        </w:rPr>
        <w:t>The correct development entry point is npm run dev, using the Electron window rather than localhost in a standalone browser.</w:t>
      </w:r>
    </w:p>
    <w:p>
      <w:pPr>
        <w:pStyle w:val="Heading1"/>
      </w:pPr>
      <w:r>
        <w:t>2. Feature status summary</w:t>
      </w:r>
    </w:p>
    <w:tbl>
      <w:tblPr>
        <w:tblStyle w:val="TableGrid"/>
        <w:tblW w:type="dxa" w:w="9360"/>
        <w:tblLayout w:type="fixed"/>
        <w:tblLook w:firstColumn="1" w:firstRow="1" w:lastColumn="0" w:lastRow="0" w:noHBand="0" w:noVBand="1" w:val="04A0"/>
        <w:jc w:val="left"/>
        <w:tblInd w:w="120" w:type="dxa"/>
      </w:tblPr>
      <w:tblGrid>
        <w:gridCol w:w="2300"/>
        <w:gridCol w:w="1400"/>
        <w:gridCol w:w="5660"/>
      </w:tblGrid>
      <w:tr>
        <w:trPr>
          <w:tblHeader/>
        </w:trPr>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20"/>
              </w:rPr>
              <w:t>Module</w:t>
            </w:r>
          </w:p>
        </w:tc>
        <w:tc>
          <w:tcPr>
            <w:tcW w:type="dxa" w:w="1400"/>
            <w:tcMar>
              <w:top w:w="80" w:type="dxa"/>
              <w:start w:w="120" w:type="dxa"/>
              <w:bottom w:w="80" w:type="dxa"/>
              <w:end w:w="120" w:type="dxa"/>
            </w:tcMar>
            <w:vAlign w:val="center"/>
            <w:shd w:fill="E8EEF5"/>
          </w:tcPr>
          <w:p>
            <w:pPr>
              <w:spacing w:after="0"/>
            </w:pPr>
            <w:r>
              <w:rPr>
                <w:rFonts w:ascii="Calibri" w:hAnsi="Calibri"/>
                <w:b/>
                <w:i w:val="0"/>
                <w:color w:val="1F4D78"/>
                <w:sz w:val="20"/>
              </w:rPr>
              <w:t>Status</w:t>
            </w:r>
          </w:p>
        </w:tc>
        <w:tc>
          <w:tcPr>
            <w:tcW w:type="dxa" w:w="5660"/>
            <w:tcMar>
              <w:top w:w="80" w:type="dxa"/>
              <w:start w:w="120" w:type="dxa"/>
              <w:bottom w:w="80" w:type="dxa"/>
              <w:end w:w="120" w:type="dxa"/>
            </w:tcMar>
            <w:vAlign w:val="center"/>
            <w:shd w:fill="E8EEF5"/>
          </w:tcPr>
          <w:p>
            <w:pPr>
              <w:spacing w:after="0"/>
            </w:pPr>
            <w:r>
              <w:rPr>
                <w:rFonts w:ascii="Calibri" w:hAnsi="Calibri"/>
                <w:b/>
                <w:i w:val="0"/>
                <w:color w:val="1F4D78"/>
                <w:sz w:val="20"/>
              </w:rPr>
              <w:t>Finding</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Authentication &amp; sessions</w:t>
            </w:r>
          </w:p>
        </w:tc>
        <w:tc>
          <w:tcPr>
            <w:tcW w:type="dxa" w:w="1400"/>
            <w:shd w:fill="E8F5E9"/>
            <w:tcMar>
              <w:top w:w="80" w:type="dxa"/>
              <w:start w:w="120" w:type="dxa"/>
              <w:bottom w:w="80" w:type="dxa"/>
              <w:end w:w="120" w:type="dxa"/>
            </w:tcMar>
            <w:vAlign w:val="center"/>
          </w:tcPr>
          <w:p>
            <w:pPr>
              <w:spacing w:after="0"/>
            </w:pPr>
            <w:r>
              <w:rPr>
                <w:rFonts w:ascii="Calibri" w:hAnsi="Calibri"/>
                <w:b w:val="0"/>
                <w:i w:val="0"/>
                <w:color w:val="111827"/>
                <w:sz w:val="19"/>
              </w:rPr>
              <w:t>Working</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Login, refresh, persisted session, logout, password change, and session revocation are API-backed.</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Dashboard</w:t>
            </w:r>
          </w:p>
        </w:tc>
        <w:tc>
          <w:tcPr>
            <w:tcW w:type="dxa" w:w="1400"/>
            <w:shd w:fill="E8F5E9"/>
            <w:tcMar>
              <w:top w:w="80" w:type="dxa"/>
              <w:start w:w="120" w:type="dxa"/>
              <w:bottom w:w="80" w:type="dxa"/>
              <w:end w:w="120" w:type="dxa"/>
            </w:tcMar>
            <w:vAlign w:val="center"/>
          </w:tcPr>
          <w:p>
            <w:pPr>
              <w:spacing w:after="0"/>
            </w:pPr>
            <w:r>
              <w:rPr>
                <w:rFonts w:ascii="Calibri" w:hAnsi="Calibri"/>
                <w:b w:val="0"/>
                <w:i w:val="0"/>
                <w:color w:val="111827"/>
                <w:sz w:val="19"/>
              </w:rPr>
              <w:t>Working</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Live statistics endpoint and entitlement-aware cards.</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POS &amp; orders</w:t>
            </w:r>
          </w:p>
        </w:tc>
        <w:tc>
          <w:tcPr>
            <w:tcW w:type="dxa" w:w="1400"/>
            <w:shd w:fill="FFF4D6"/>
            <w:tcMar>
              <w:top w:w="80" w:type="dxa"/>
              <w:start w:w="120" w:type="dxa"/>
              <w:bottom w:w="80" w:type="dxa"/>
              <w:end w:w="120" w:type="dxa"/>
            </w:tcMar>
            <w:vAlign w:val="center"/>
          </w:tcPr>
          <w:p>
            <w:pPr>
              <w:spacing w:after="0"/>
            </w:pPr>
            <w:r>
              <w:rPr>
                <w:rFonts w:ascii="Calibri" w:hAnsi="Calibri"/>
                <w:b w:val="0"/>
                <w:i w:val="0"/>
                <w:color w:val="111827"/>
                <w:sz w:val="19"/>
              </w:rPr>
              <w:t>Partial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Order creation and status are API-backed; vouchers are hard-coded and exports are at risk.</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Menu, modifiers &amp; combos</w:t>
            </w:r>
          </w:p>
        </w:tc>
        <w:tc>
          <w:tcPr>
            <w:tcW w:type="dxa" w:w="1400"/>
            <w:shd w:fill="E8F5E9"/>
            <w:tcMar>
              <w:top w:w="80" w:type="dxa"/>
              <w:start w:w="120" w:type="dxa"/>
              <w:bottom w:w="80" w:type="dxa"/>
              <w:end w:w="120" w:type="dxa"/>
            </w:tcMar>
            <w:vAlign w:val="center"/>
          </w:tcPr>
          <w:p>
            <w:pPr>
              <w:spacing w:after="0"/>
            </w:pPr>
            <w:r>
              <w:rPr>
                <w:rFonts w:ascii="Calibri" w:hAnsi="Calibri"/>
                <w:b w:val="0"/>
                <w:i w:val="0"/>
                <w:color w:val="111827"/>
                <w:sz w:val="19"/>
              </w:rPr>
              <w:t>Working</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CRUD flows and image upload are API-backed.</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Tables &amp; kitchen</w:t>
            </w:r>
          </w:p>
        </w:tc>
        <w:tc>
          <w:tcPr>
            <w:tcW w:type="dxa" w:w="1400"/>
            <w:shd w:fill="E8F5E9"/>
            <w:tcMar>
              <w:top w:w="80" w:type="dxa"/>
              <w:start w:w="120" w:type="dxa"/>
              <w:bottom w:w="80" w:type="dxa"/>
              <w:end w:w="120" w:type="dxa"/>
            </w:tcMar>
            <w:vAlign w:val="center"/>
          </w:tcPr>
          <w:p>
            <w:pPr>
              <w:spacing w:after="0"/>
            </w:pPr>
            <w:r>
              <w:rPr>
                <w:rFonts w:ascii="Calibri" w:hAnsi="Calibri"/>
                <w:b w:val="0"/>
                <w:i w:val="0"/>
                <w:color w:val="111827"/>
                <w:sz w:val="19"/>
              </w:rPr>
              <w:t>Working</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Status, merge, transfer, kitchen workflow, and refresh are API-backed.</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Customers</w:t>
            </w:r>
          </w:p>
        </w:tc>
        <w:tc>
          <w:tcPr>
            <w:tcW w:type="dxa" w:w="1400"/>
            <w:shd w:fill="E8F5E9"/>
            <w:tcMar>
              <w:top w:w="80" w:type="dxa"/>
              <w:start w:w="120" w:type="dxa"/>
              <w:bottom w:w="80" w:type="dxa"/>
              <w:end w:w="120" w:type="dxa"/>
            </w:tcMar>
            <w:vAlign w:val="center"/>
          </w:tcPr>
          <w:p>
            <w:pPr>
              <w:spacing w:after="0"/>
            </w:pPr>
            <w:r>
              <w:rPr>
                <w:rFonts w:ascii="Calibri" w:hAnsi="Calibri"/>
                <w:b w:val="0"/>
                <w:i w:val="0"/>
                <w:color w:val="111827"/>
                <w:sz w:val="19"/>
              </w:rPr>
              <w:t>Working</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List, create, and phone lookup are API-backed.</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Inventory</w:t>
            </w:r>
          </w:p>
        </w:tc>
        <w:tc>
          <w:tcPr>
            <w:tcW w:type="dxa" w:w="1400"/>
            <w:shd w:fill="FFF4D6"/>
            <w:tcMar>
              <w:top w:w="80" w:type="dxa"/>
              <w:start w:w="120" w:type="dxa"/>
              <w:bottom w:w="80" w:type="dxa"/>
              <w:end w:w="120" w:type="dxa"/>
            </w:tcMar>
            <w:vAlign w:val="center"/>
          </w:tcPr>
          <w:p>
            <w:pPr>
              <w:spacing w:after="0"/>
            </w:pPr>
            <w:r>
              <w:rPr>
                <w:rFonts w:ascii="Calibri" w:hAnsi="Calibri"/>
                <w:b w:val="0"/>
                <w:i w:val="0"/>
                <w:color w:val="111827"/>
                <w:sz w:val="19"/>
              </w:rPr>
              <w:t>Partial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Core CRUD, warehouses, adjustments, transfers, and export work; barcode scanning and log search do not.</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Purchasing</w:t>
            </w:r>
          </w:p>
        </w:tc>
        <w:tc>
          <w:tcPr>
            <w:tcW w:type="dxa" w:w="1400"/>
            <w:shd w:fill="FFF4D6"/>
            <w:tcMar>
              <w:top w:w="80" w:type="dxa"/>
              <w:start w:w="120" w:type="dxa"/>
              <w:bottom w:w="80" w:type="dxa"/>
              <w:end w:w="120" w:type="dxa"/>
            </w:tcMar>
            <w:vAlign w:val="center"/>
          </w:tcPr>
          <w:p>
            <w:pPr>
              <w:spacing w:after="0"/>
            </w:pPr>
            <w:r>
              <w:rPr>
                <w:rFonts w:ascii="Calibri" w:hAnsi="Calibri"/>
                <w:b w:val="0"/>
                <w:i w:val="0"/>
                <w:color w:val="111827"/>
                <w:sz w:val="19"/>
              </w:rPr>
              <w:t>Partial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Lists and create forms are API-backed; export button is inactive.</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Employees &amp; staff</w:t>
            </w:r>
          </w:p>
        </w:tc>
        <w:tc>
          <w:tcPr>
            <w:tcW w:type="dxa" w:w="1400"/>
            <w:shd w:fill="FDECEC"/>
            <w:tcMar>
              <w:top w:w="80" w:type="dxa"/>
              <w:start w:w="120" w:type="dxa"/>
              <w:bottom w:w="80" w:type="dxa"/>
              <w:end w:w="120" w:type="dxa"/>
            </w:tcMar>
            <w:vAlign w:val="center"/>
          </w:tcPr>
          <w:p>
            <w:pPr>
              <w:spacing w:after="0"/>
            </w:pPr>
            <w:r>
              <w:rPr>
                <w:rFonts w:ascii="Calibri" w:hAnsi="Calibri"/>
                <w:b w:val="0"/>
                <w:i w:val="0"/>
                <w:color w:val="111827"/>
                <w:sz w:val="19"/>
              </w:rPr>
              <w:t>Not working</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Lists load, but add, attendance, shifts, payroll, and permission editing are incomplete.</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Notifications</w:t>
            </w:r>
          </w:p>
        </w:tc>
        <w:tc>
          <w:tcPr>
            <w:tcW w:type="dxa" w:w="1400"/>
            <w:shd w:fill="FFF4D6"/>
            <w:tcMar>
              <w:top w:w="80" w:type="dxa"/>
              <w:start w:w="120" w:type="dxa"/>
              <w:bottom w:w="80" w:type="dxa"/>
              <w:end w:w="120" w:type="dxa"/>
            </w:tcMar>
            <w:vAlign w:val="center"/>
          </w:tcPr>
          <w:p>
            <w:pPr>
              <w:spacing w:after="0"/>
            </w:pPr>
            <w:r>
              <w:rPr>
                <w:rFonts w:ascii="Calibri" w:hAnsi="Calibri"/>
                <w:b w:val="0"/>
                <w:i w:val="0"/>
                <w:color w:val="111827"/>
                <w:sz w:val="19"/>
              </w:rPr>
              <w:t>Partial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List and read actions work; delete and tab filters do not.</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CRM &amp; campaigns</w:t>
            </w:r>
          </w:p>
        </w:tc>
        <w:tc>
          <w:tcPr>
            <w:tcW w:type="dxa" w:w="1400"/>
            <w:shd w:fill="FFF4D6"/>
            <w:tcMar>
              <w:top w:w="80" w:type="dxa"/>
              <w:start w:w="120" w:type="dxa"/>
              <w:bottom w:w="80" w:type="dxa"/>
              <w:end w:w="120" w:type="dxa"/>
            </w:tcMar>
            <w:vAlign w:val="center"/>
          </w:tcPr>
          <w:p>
            <w:pPr>
              <w:spacing w:after="0"/>
            </w:pPr>
            <w:r>
              <w:rPr>
                <w:rFonts w:ascii="Calibri" w:hAnsi="Calibri"/>
                <w:b w:val="0"/>
                <w:i w:val="0"/>
                <w:color w:val="111827"/>
                <w:sz w:val="19"/>
              </w:rPr>
              <w:t>Partial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Campaign CRUD/send works; header shortcut and customer notes are incomplete.</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Reports</w:t>
            </w:r>
          </w:p>
        </w:tc>
        <w:tc>
          <w:tcPr>
            <w:tcW w:type="dxa" w:w="1400"/>
            <w:shd w:fill="FDECEC"/>
            <w:tcMar>
              <w:top w:w="80" w:type="dxa"/>
              <w:start w:w="120" w:type="dxa"/>
              <w:bottom w:w="80" w:type="dxa"/>
              <w:end w:w="120" w:type="dxa"/>
            </w:tcMar>
            <w:vAlign w:val="center"/>
          </w:tcPr>
          <w:p>
            <w:pPr>
              <w:spacing w:after="0"/>
            </w:pPr>
            <w:r>
              <w:rPr>
                <w:rFonts w:ascii="Calibri" w:hAnsi="Calibri"/>
                <w:b w:val="0"/>
                <w:i w:val="0"/>
                <w:color w:val="111827"/>
                <w:sz w:val="19"/>
              </w:rPr>
              <w:t>Risk</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Report data loads, but binary CSV/XLSX/PDF download is not supported correctly by the current bridge.</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QR ordering</w:t>
            </w:r>
          </w:p>
        </w:tc>
        <w:tc>
          <w:tcPr>
            <w:tcW w:type="dxa" w:w="1400"/>
            <w:shd w:fill="E8F5E9"/>
            <w:tcMar>
              <w:top w:w="80" w:type="dxa"/>
              <w:start w:w="120" w:type="dxa"/>
              <w:bottom w:w="80" w:type="dxa"/>
              <w:end w:w="120" w:type="dxa"/>
            </w:tcMar>
            <w:vAlign w:val="center"/>
          </w:tcPr>
          <w:p>
            <w:pPr>
              <w:spacing w:after="0"/>
            </w:pPr>
            <w:r>
              <w:rPr>
                <w:rFonts w:ascii="Calibri" w:hAnsi="Calibri"/>
                <w:b w:val="0"/>
                <w:i w:val="0"/>
                <w:color w:val="111827"/>
                <w:sz w:val="19"/>
              </w:rPr>
              <w:t>Working</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QR management and waiter calls are API-backed; PNG generation is local to avoid server filesystem failures.</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Accounting &amp; analytics</w:t>
            </w:r>
          </w:p>
        </w:tc>
        <w:tc>
          <w:tcPr>
            <w:tcW w:type="dxa" w:w="1400"/>
            <w:shd w:fill="E8F5E9"/>
            <w:tcMar>
              <w:top w:w="80" w:type="dxa"/>
              <w:start w:w="120" w:type="dxa"/>
              <w:bottom w:w="80" w:type="dxa"/>
              <w:end w:w="120" w:type="dxa"/>
            </w:tcMar>
            <w:vAlign w:val="center"/>
          </w:tcPr>
          <w:p>
            <w:pPr>
              <w:spacing w:after="0"/>
            </w:pPr>
            <w:r>
              <w:rPr>
                <w:rFonts w:ascii="Calibri" w:hAnsi="Calibri"/>
                <w:b w:val="0"/>
                <w:i w:val="0"/>
                <w:color w:val="111827"/>
                <w:sz w:val="19"/>
              </w:rPr>
              <w:t>Working</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Read and expense flows are API-backed.</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Settings</w:t>
            </w:r>
          </w:p>
        </w:tc>
        <w:tc>
          <w:tcPr>
            <w:tcW w:type="dxa" w:w="1400"/>
            <w:shd w:fill="FFF4D6"/>
            <w:tcMar>
              <w:top w:w="80" w:type="dxa"/>
              <w:start w:w="120" w:type="dxa"/>
              <w:bottom w:w="80" w:type="dxa"/>
              <w:end w:w="120" w:type="dxa"/>
            </w:tcMar>
            <w:vAlign w:val="center"/>
          </w:tcPr>
          <w:p>
            <w:pPr>
              <w:spacing w:after="0"/>
            </w:pPr>
            <w:r>
              <w:rPr>
                <w:rFonts w:ascii="Calibri" w:hAnsi="Calibri"/>
                <w:b w:val="0"/>
                <w:i w:val="0"/>
                <w:color w:val="111827"/>
                <w:sz w:val="19"/>
              </w:rPr>
              <w:t>Partial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Restaurant, tax, printers, and payment flags call APIs; language and auto-print persistence are incomplete.</w:t>
            </w:r>
          </w:p>
        </w:tc>
      </w:tr>
      <w:tr>
        <w:tc>
          <w:tcPr>
            <w:tcW w:type="dxa" w:w="2300"/>
            <w:tcMar>
              <w:top w:w="80" w:type="dxa"/>
              <w:start w:w="120" w:type="dxa"/>
              <w:bottom w:w="80" w:type="dxa"/>
              <w:end w:w="120" w:type="dxa"/>
            </w:tcMar>
            <w:vAlign w:val="center"/>
          </w:tcPr>
          <w:p>
            <w:pPr>
              <w:spacing w:after="0"/>
            </w:pPr>
            <w:r>
              <w:rPr>
                <w:rFonts w:ascii="Calibri" w:hAnsi="Calibri"/>
                <w:b/>
                <w:i w:val="0"/>
                <w:color w:val="111827"/>
                <w:sz w:val="19"/>
              </w:rPr>
              <w:t>Subscription &amp; entitlements</w:t>
            </w:r>
          </w:p>
        </w:tc>
        <w:tc>
          <w:tcPr>
            <w:tcW w:type="dxa" w:w="1400"/>
            <w:shd w:fill="FFF4D6"/>
            <w:tcMar>
              <w:top w:w="80" w:type="dxa"/>
              <w:start w:w="120" w:type="dxa"/>
              <w:bottom w:w="80" w:type="dxa"/>
              <w:end w:w="120" w:type="dxa"/>
            </w:tcMar>
            <w:vAlign w:val="center"/>
          </w:tcPr>
          <w:p>
            <w:pPr>
              <w:spacing w:after="0"/>
            </w:pPr>
            <w:r>
              <w:rPr>
                <w:rFonts w:ascii="Calibri" w:hAnsi="Calibri"/>
                <w:b w:val="0"/>
                <w:i w:val="0"/>
                <w:color w:val="111827"/>
                <w:sz w:val="19"/>
              </w:rPr>
              <w:t>Partial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Feature gating works; available-plan pricing uses a mismatched frontend type.</w:t>
            </w:r>
          </w:p>
        </w:tc>
      </w:tr>
    </w:tbl>
    <w:p>
      <w:pPr>
        <w:spacing w:after="40"/>
      </w:pPr>
    </w:p>
    <w:p>
      <w:pPr>
        <w:pStyle w:val="Heading1"/>
      </w:pPr>
      <w:r>
        <w:t>3. Confirmed inactive or incomplete controls</w:t>
      </w:r>
    </w:p>
    <w:p>
      <w:pPr>
        <w:pStyle w:val="ListBullet"/>
        <w:spacing w:after="160" w:line="280" w:lineRule="auto"/>
        <w:ind w:left="720" w:hanging="360"/>
      </w:pPr>
      <w:r>
        <w:rPr>
          <w:rFonts w:ascii="Calibri" w:hAnsi="Calibri"/>
          <w:b w:val="0"/>
          <w:i w:val="0"/>
          <w:color w:val="111827"/>
          <w:sz w:val="22"/>
        </w:rPr>
        <w:t>Employees: Add Employee has no handler; Attendance, Shifts, and Payroll tabs do not provide separate content.</w:t>
      </w:r>
    </w:p>
    <w:p>
      <w:pPr>
        <w:pStyle w:val="ListBullet"/>
        <w:spacing w:after="160" w:line="280" w:lineRule="auto"/>
        <w:ind w:left="720" w:hanging="360"/>
      </w:pPr>
      <w:r>
        <w:rPr>
          <w:rFonts w:ascii="Calibri" w:hAnsi="Calibri"/>
          <w:b w:val="0"/>
          <w:i w:val="0"/>
          <w:color w:val="111827"/>
          <w:sz w:val="22"/>
        </w:rPr>
        <w:t>Staff: Add Staff has no handler; permission switches are intentionally disabled.</w:t>
      </w:r>
    </w:p>
    <w:p>
      <w:pPr>
        <w:pStyle w:val="ListBullet"/>
        <w:spacing w:after="160" w:line="280" w:lineRule="auto"/>
        <w:ind w:left="720" w:hanging="360"/>
      </w:pPr>
      <w:r>
        <w:rPr>
          <w:rFonts w:ascii="Calibri" w:hAnsi="Calibri"/>
          <w:b w:val="0"/>
          <w:i w:val="0"/>
          <w:color w:val="111827"/>
          <w:sz w:val="22"/>
        </w:rPr>
        <w:t>Notifications: Delete buttons have no handler; All, Orders, Kitchen, and System tabs do not filter.</w:t>
      </w:r>
    </w:p>
    <w:p>
      <w:pPr>
        <w:pStyle w:val="ListBullet"/>
        <w:spacing w:after="160" w:line="280" w:lineRule="auto"/>
        <w:ind w:left="720" w:hanging="360"/>
      </w:pPr>
      <w:r>
        <w:rPr>
          <w:rFonts w:ascii="Calibri" w:hAnsi="Calibri"/>
          <w:b w:val="0"/>
          <w:i w:val="0"/>
          <w:color w:val="111827"/>
          <w:sz w:val="22"/>
        </w:rPr>
        <w:t>CRM: New Campaign header button has no handler; Customer Notes tab has no content.</w:t>
      </w:r>
    </w:p>
    <w:p>
      <w:pPr>
        <w:pStyle w:val="ListBullet"/>
        <w:spacing w:after="160" w:line="280" w:lineRule="auto"/>
        <w:ind w:left="720" w:hanging="360"/>
      </w:pPr>
      <w:r>
        <w:rPr>
          <w:rFonts w:ascii="Calibri" w:hAnsi="Calibri"/>
          <w:b w:val="0"/>
          <w:i w:val="0"/>
          <w:color w:val="111827"/>
          <w:sz w:val="22"/>
        </w:rPr>
        <w:t>Purchasing: Export button has no handler.</w:t>
      </w:r>
    </w:p>
    <w:p>
      <w:pPr>
        <w:pStyle w:val="ListBullet"/>
        <w:spacing w:after="160" w:line="280" w:lineRule="auto"/>
        <w:ind w:left="720" w:hanging="360"/>
      </w:pPr>
      <w:r>
        <w:rPr>
          <w:rFonts w:ascii="Calibri" w:hAnsi="Calibri"/>
          <w:b w:val="0"/>
          <w:i w:val="0"/>
          <w:color w:val="111827"/>
          <w:sz w:val="22"/>
        </w:rPr>
        <w:t>Inventory: Scan Barcode has no handler; inventory-log search is not connected to filtering.</w:t>
      </w:r>
    </w:p>
    <w:p>
      <w:pPr>
        <w:pStyle w:val="ListBullet"/>
        <w:spacing w:after="160" w:line="280" w:lineRule="auto"/>
        <w:ind w:left="720" w:hanging="360"/>
      </w:pPr>
      <w:r>
        <w:rPr>
          <w:rFonts w:ascii="Calibri" w:hAnsi="Calibri"/>
          <w:b w:val="0"/>
          <w:i w:val="0"/>
          <w:color w:val="111827"/>
          <w:sz w:val="22"/>
        </w:rPr>
        <w:t>Users: Edit User, Reset Password, and Manage Roles menu actions have no handlers.</w:t>
      </w:r>
    </w:p>
    <w:p>
      <w:pPr>
        <w:pStyle w:val="ListBullet"/>
        <w:spacing w:after="160" w:line="280" w:lineRule="auto"/>
        <w:ind w:left="720" w:hanging="360"/>
      </w:pPr>
      <w:r>
        <w:rPr>
          <w:rFonts w:ascii="Calibri" w:hAnsi="Calibri"/>
          <w:b w:val="0"/>
          <w:i w:val="0"/>
          <w:color w:val="111827"/>
          <w:sz w:val="22"/>
        </w:rPr>
        <w:t>Settings: Language tab has no content; Auto Print Receipt is not persisted.</w:t>
      </w:r>
    </w:p>
    <w:p>
      <w:pPr>
        <w:pStyle w:val="ListBullet"/>
        <w:spacing w:after="160" w:line="280" w:lineRule="auto"/>
        <w:ind w:left="720" w:hanging="360"/>
      </w:pPr>
      <w:r>
        <w:rPr>
          <w:rFonts w:ascii="Calibri" w:hAnsi="Calibri"/>
          <w:b w:val="0"/>
          <w:i w:val="0"/>
          <w:color w:val="111827"/>
          <w:sz w:val="22"/>
        </w:rPr>
        <w:t>SaaS: Add Restaurant on the SaaS page has no handler, although tenant creation exists on the tenant-admin page.</w:t>
      </w:r>
    </w:p>
    <w:p>
      <w:pPr>
        <w:pStyle w:val="Heading1"/>
      </w:pPr>
      <w:r>
        <w:t>4. Technical risks and contract issues</w:t>
      </w:r>
    </w:p>
    <w:tbl>
      <w:tblPr>
        <w:tblStyle w:val="TableGrid"/>
        <w:tblW w:type="dxa" w:w="9360"/>
        <w:tblLayout w:type="fixed"/>
        <w:tblLook w:firstColumn="1" w:firstRow="1" w:lastColumn="0" w:lastRow="0" w:noHBand="0" w:noVBand="1" w:val="04A0"/>
        <w:jc w:val="left"/>
        <w:tblInd w:w="120" w:type="dxa"/>
      </w:tblPr>
      <w:tblGrid>
        <w:gridCol w:w="2050"/>
        <w:gridCol w:w="1000"/>
        <w:gridCol w:w="3650"/>
        <w:gridCol w:w="2660"/>
      </w:tblGrid>
      <w:tr>
        <w:trPr>
          <w:tblHeader/>
        </w:trPr>
        <w:tc>
          <w:tcPr>
            <w:tcW w:type="dxa" w:w="2050"/>
            <w:tcMar>
              <w:top w:w="80" w:type="dxa"/>
              <w:start w:w="120" w:type="dxa"/>
              <w:bottom w:w="80" w:type="dxa"/>
              <w:end w:w="120" w:type="dxa"/>
            </w:tcMar>
            <w:vAlign w:val="center"/>
            <w:shd w:fill="E8EEF5"/>
          </w:tcPr>
          <w:p>
            <w:pPr>
              <w:spacing w:after="0"/>
            </w:pPr>
            <w:r>
              <w:rPr>
                <w:rFonts w:ascii="Calibri" w:hAnsi="Calibri"/>
                <w:b/>
                <w:i w:val="0"/>
                <w:color w:val="1F4D78"/>
                <w:sz w:val="20"/>
              </w:rPr>
              <w:t>Risk</w:t>
            </w:r>
          </w:p>
        </w:tc>
        <w:tc>
          <w:tcPr>
            <w:tcW w:type="dxa" w:w="1000"/>
            <w:tcMar>
              <w:top w:w="80" w:type="dxa"/>
              <w:start w:w="120" w:type="dxa"/>
              <w:bottom w:w="80" w:type="dxa"/>
              <w:end w:w="120" w:type="dxa"/>
            </w:tcMar>
            <w:vAlign w:val="center"/>
            <w:shd w:fill="E8EEF5"/>
          </w:tcPr>
          <w:p>
            <w:pPr>
              <w:spacing w:after="0"/>
            </w:pPr>
            <w:r>
              <w:rPr>
                <w:rFonts w:ascii="Calibri" w:hAnsi="Calibri"/>
                <w:b/>
                <w:i w:val="0"/>
                <w:color w:val="1F4D78"/>
                <w:sz w:val="20"/>
              </w:rPr>
              <w:t>Priority</w:t>
            </w:r>
          </w:p>
        </w:tc>
        <w:tc>
          <w:tcPr>
            <w:tcW w:type="dxa" w:w="3650"/>
            <w:tcMar>
              <w:top w:w="80" w:type="dxa"/>
              <w:start w:w="120" w:type="dxa"/>
              <w:bottom w:w="80" w:type="dxa"/>
              <w:end w:w="120" w:type="dxa"/>
            </w:tcMar>
            <w:vAlign w:val="center"/>
            <w:shd w:fill="E8EEF5"/>
          </w:tcPr>
          <w:p>
            <w:pPr>
              <w:spacing w:after="0"/>
            </w:pPr>
            <w:r>
              <w:rPr>
                <w:rFonts w:ascii="Calibri" w:hAnsi="Calibri"/>
                <w:b/>
                <w:i w:val="0"/>
                <w:color w:val="1F4D78"/>
                <w:sz w:val="20"/>
              </w:rPr>
              <w:t>Cause</w:t>
            </w:r>
          </w:p>
        </w:tc>
        <w:tc>
          <w:tcPr>
            <w:tcW w:type="dxa" w:w="2660"/>
            <w:tcMar>
              <w:top w:w="80" w:type="dxa"/>
              <w:start w:w="120" w:type="dxa"/>
              <w:bottom w:w="80" w:type="dxa"/>
              <w:end w:w="120" w:type="dxa"/>
            </w:tcMar>
            <w:vAlign w:val="center"/>
            <w:shd w:fill="E8EEF5"/>
          </w:tcPr>
          <w:p>
            <w:pPr>
              <w:spacing w:after="0"/>
            </w:pPr>
            <w:r>
              <w:rPr>
                <w:rFonts w:ascii="Calibri" w:hAnsi="Calibri"/>
                <w:b/>
                <w:i w:val="0"/>
                <w:color w:val="1F4D78"/>
                <w:sz w:val="20"/>
              </w:rPr>
              <w:t>Impact</w:t>
            </w:r>
          </w:p>
        </w:tc>
      </w:tr>
      <w:tr>
        <w:tc>
          <w:tcPr>
            <w:tcW w:type="dxa" w:w="2050"/>
            <w:tcMar>
              <w:top w:w="80" w:type="dxa"/>
              <w:start w:w="120" w:type="dxa"/>
              <w:bottom w:w="80" w:type="dxa"/>
              <w:end w:w="120" w:type="dxa"/>
            </w:tcMar>
            <w:vAlign w:val="center"/>
          </w:tcPr>
          <w:p>
            <w:pPr>
              <w:spacing w:after="0"/>
            </w:pPr>
            <w:r>
              <w:rPr>
                <w:rFonts w:ascii="Calibri" w:hAnsi="Calibri"/>
                <w:b/>
                <w:i w:val="0"/>
                <w:color w:val="111827"/>
                <w:sz w:val="19"/>
              </w:rPr>
              <w:t>Binary report export</w:t>
            </w:r>
          </w:p>
        </w:tc>
        <w:tc>
          <w:tcPr>
            <w:tcW w:type="dxa" w:w="1000"/>
            <w:tcMar>
              <w:top w:w="80" w:type="dxa"/>
              <w:start w:w="120" w:type="dxa"/>
              <w:bottom w:w="80" w:type="dxa"/>
              <w:end w:w="120" w:type="dxa"/>
            </w:tcMar>
            <w:vAlign w:val="center"/>
          </w:tcPr>
          <w:p>
            <w:pPr>
              <w:spacing w:after="0"/>
            </w:pPr>
            <w:r>
              <w:rPr>
                <w:rFonts w:ascii="Calibri" w:hAnsi="Calibri"/>
                <w:b w:val="0"/>
                <w:i w:val="0"/>
                <w:color w:val="111827"/>
                <w:sz w:val="19"/>
              </w:rPr>
              <w:t>High</w:t>
            </w:r>
          </w:p>
        </w:tc>
        <w:tc>
          <w:tcPr>
            <w:tcW w:type="dxa" w:w="3650"/>
            <w:tcMar>
              <w:top w:w="80" w:type="dxa"/>
              <w:start w:w="120" w:type="dxa"/>
              <w:bottom w:w="80" w:type="dxa"/>
              <w:end w:w="120" w:type="dxa"/>
            </w:tcMar>
            <w:vAlign w:val="center"/>
          </w:tcPr>
          <w:p>
            <w:pPr>
              <w:spacing w:after="0"/>
            </w:pPr>
            <w:r>
              <w:rPr>
                <w:rFonts w:ascii="Calibri" w:hAnsi="Calibri"/>
                <w:b w:val="0"/>
                <w:i w:val="0"/>
                <w:color w:val="111827"/>
                <w:sz w:val="19"/>
              </w:rPr>
              <w:t>The renderer requests blob responses, but the Electron bridge always parses response text as JSON and does not forward Content-Disposition headers.</w:t>
            </w:r>
          </w:p>
        </w:tc>
        <w:tc>
          <w:tcPr>
            <w:tcW w:type="dxa" w:w="2660"/>
            <w:tcMar>
              <w:top w:w="80" w:type="dxa"/>
              <w:start w:w="120" w:type="dxa"/>
              <w:bottom w:w="80" w:type="dxa"/>
              <w:end w:w="120" w:type="dxa"/>
            </w:tcMar>
            <w:vAlign w:val="center"/>
          </w:tcPr>
          <w:p>
            <w:pPr>
              <w:spacing w:after="0"/>
            </w:pPr>
            <w:r>
              <w:rPr>
                <w:rFonts w:ascii="Calibri" w:hAnsi="Calibri"/>
                <w:b w:val="0"/>
                <w:i w:val="0"/>
                <w:color w:val="111827"/>
                <w:sz w:val="19"/>
              </w:rPr>
              <w:t>CSV, XLSX, PDF, and order export can fail.</w:t>
            </w:r>
          </w:p>
        </w:tc>
      </w:tr>
      <w:tr>
        <w:tc>
          <w:tcPr>
            <w:tcW w:type="dxa" w:w="2050"/>
            <w:tcMar>
              <w:top w:w="80" w:type="dxa"/>
              <w:start w:w="120" w:type="dxa"/>
              <w:bottom w:w="80" w:type="dxa"/>
              <w:end w:w="120" w:type="dxa"/>
            </w:tcMar>
            <w:vAlign w:val="center"/>
          </w:tcPr>
          <w:p>
            <w:pPr>
              <w:spacing w:after="0"/>
            </w:pPr>
            <w:r>
              <w:rPr>
                <w:rFonts w:ascii="Calibri" w:hAnsi="Calibri"/>
                <w:b/>
                <w:i w:val="0"/>
                <w:color w:val="111827"/>
                <w:sz w:val="19"/>
              </w:rPr>
              <w:t>Plans API type mismatch</w:t>
            </w:r>
          </w:p>
        </w:tc>
        <w:tc>
          <w:tcPr>
            <w:tcW w:type="dxa" w:w="1000"/>
            <w:tcMar>
              <w:top w:w="80" w:type="dxa"/>
              <w:start w:w="120" w:type="dxa"/>
              <w:bottom w:w="80" w:type="dxa"/>
              <w:end w:w="120" w:type="dxa"/>
            </w:tcMar>
            <w:vAlign w:val="center"/>
          </w:tcPr>
          <w:p>
            <w:pPr>
              <w:spacing w:after="0"/>
            </w:pPr>
            <w:r>
              <w:rPr>
                <w:rFonts w:ascii="Calibri" w:hAnsi="Calibri"/>
                <w:b w:val="0"/>
                <w:i w:val="0"/>
                <w:color w:val="111827"/>
                <w:sz w:val="19"/>
              </w:rPr>
              <w:t>High</w:t>
            </w:r>
          </w:p>
        </w:tc>
        <w:tc>
          <w:tcPr>
            <w:tcW w:type="dxa" w:w="3650"/>
            <w:tcMar>
              <w:top w:w="80" w:type="dxa"/>
              <w:start w:w="120" w:type="dxa"/>
              <w:bottom w:w="80" w:type="dxa"/>
              <w:end w:w="120" w:type="dxa"/>
            </w:tcMar>
            <w:vAlign w:val="center"/>
          </w:tcPr>
          <w:p>
            <w:pPr>
              <w:spacing w:after="0"/>
            </w:pPr>
            <w:r>
              <w:rPr>
                <w:rFonts w:ascii="Calibri" w:hAnsi="Calibri"/>
                <w:b w:val="0"/>
                <w:i w:val="0"/>
                <w:color w:val="111827"/>
                <w:sz w:val="19"/>
              </w:rPr>
              <w:t>Live API returns priceMonthly and priceYearly; frontend TenantPlan expects price and interval.</w:t>
            </w:r>
          </w:p>
        </w:tc>
        <w:tc>
          <w:tcPr>
            <w:tcW w:type="dxa" w:w="2660"/>
            <w:tcMar>
              <w:top w:w="80" w:type="dxa"/>
              <w:start w:w="120" w:type="dxa"/>
              <w:bottom w:w="80" w:type="dxa"/>
              <w:end w:w="120" w:type="dxa"/>
            </w:tcMar>
            <w:vAlign w:val="center"/>
          </w:tcPr>
          <w:p>
            <w:pPr>
              <w:spacing w:after="0"/>
            </w:pPr>
            <w:r>
              <w:rPr>
                <w:rFonts w:ascii="Calibri" w:hAnsi="Calibri"/>
                <w:b w:val="0"/>
                <w:i w:val="0"/>
                <w:color w:val="111827"/>
                <w:sz w:val="19"/>
              </w:rPr>
              <w:t>Available plans may show ₹0 or an incorrect interval.</w:t>
            </w:r>
          </w:p>
        </w:tc>
      </w:tr>
      <w:tr>
        <w:tc>
          <w:tcPr>
            <w:tcW w:type="dxa" w:w="2050"/>
            <w:tcMar>
              <w:top w:w="80" w:type="dxa"/>
              <w:start w:w="120" w:type="dxa"/>
              <w:bottom w:w="80" w:type="dxa"/>
              <w:end w:w="120" w:type="dxa"/>
            </w:tcMar>
            <w:vAlign w:val="center"/>
          </w:tcPr>
          <w:p>
            <w:pPr>
              <w:spacing w:after="0"/>
            </w:pPr>
            <w:r>
              <w:rPr>
                <w:rFonts w:ascii="Calibri" w:hAnsi="Calibri"/>
                <w:b/>
                <w:i w:val="0"/>
                <w:color w:val="111827"/>
                <w:sz w:val="19"/>
              </w:rPr>
              <w:t>Browser-only launch</w:t>
            </w:r>
          </w:p>
        </w:tc>
        <w:tc>
          <w:tcPr>
            <w:tcW w:type="dxa" w:w="1000"/>
            <w:tcMar>
              <w:top w:w="80" w:type="dxa"/>
              <w:start w:w="120" w:type="dxa"/>
              <w:bottom w:w="80" w:type="dxa"/>
              <w:end w:w="120" w:type="dxa"/>
            </w:tcMar>
            <w:vAlign w:val="center"/>
          </w:tcPr>
          <w:p>
            <w:pPr>
              <w:spacing w:after="0"/>
            </w:pPr>
            <w:r>
              <w:rPr>
                <w:rFonts w:ascii="Calibri" w:hAnsi="Calibri"/>
                <w:b w:val="0"/>
                <w:i w:val="0"/>
                <w:color w:val="111827"/>
                <w:sz w:val="19"/>
              </w:rPr>
              <w:t>High</w:t>
            </w:r>
          </w:p>
        </w:tc>
        <w:tc>
          <w:tcPr>
            <w:tcW w:type="dxa" w:w="3650"/>
            <w:tcMar>
              <w:top w:w="80" w:type="dxa"/>
              <w:start w:w="120" w:type="dxa"/>
              <w:bottom w:w="80" w:type="dxa"/>
              <w:end w:w="120" w:type="dxa"/>
            </w:tcMar>
            <w:vAlign w:val="center"/>
          </w:tcPr>
          <w:p>
            <w:pPr>
              <w:spacing w:after="0"/>
            </w:pPr>
            <w:r>
              <w:rPr>
                <w:rFonts w:ascii="Calibri" w:hAnsi="Calibri"/>
                <w:b w:val="0"/>
                <w:i w:val="0"/>
                <w:color w:val="111827"/>
                <w:sz w:val="19"/>
              </w:rPr>
              <w:t>The Axios adapter requires window.electronAPI.</w:t>
            </w:r>
          </w:p>
        </w:tc>
        <w:tc>
          <w:tcPr>
            <w:tcW w:type="dxa" w:w="2660"/>
            <w:tcMar>
              <w:top w:w="80" w:type="dxa"/>
              <w:start w:w="120" w:type="dxa"/>
              <w:bottom w:w="80" w:type="dxa"/>
              <w:end w:w="120" w:type="dxa"/>
            </w:tcMar>
            <w:vAlign w:val="center"/>
          </w:tcPr>
          <w:p>
            <w:pPr>
              <w:spacing w:after="0"/>
            </w:pPr>
            <w:r>
              <w:rPr>
                <w:rFonts w:ascii="Calibri" w:hAnsi="Calibri"/>
                <w:b w:val="0"/>
                <w:i w:val="0"/>
                <w:color w:val="111827"/>
                <w:sz w:val="19"/>
              </w:rPr>
              <w:t>All API calls fail when localhost is opened outside Electron.</w:t>
            </w:r>
          </w:p>
        </w:tc>
      </w:tr>
      <w:tr>
        <w:tc>
          <w:tcPr>
            <w:tcW w:type="dxa" w:w="2050"/>
            <w:tcMar>
              <w:top w:w="80" w:type="dxa"/>
              <w:start w:w="120" w:type="dxa"/>
              <w:bottom w:w="80" w:type="dxa"/>
              <w:end w:w="120" w:type="dxa"/>
            </w:tcMar>
            <w:vAlign w:val="center"/>
          </w:tcPr>
          <w:p>
            <w:pPr>
              <w:spacing w:after="0"/>
            </w:pPr>
            <w:r>
              <w:rPr>
                <w:rFonts w:ascii="Calibri" w:hAnsi="Calibri"/>
                <w:b/>
                <w:i w:val="0"/>
                <w:color w:val="111827"/>
                <w:sz w:val="19"/>
              </w:rPr>
              <w:t>Local voucher rules</w:t>
            </w:r>
          </w:p>
        </w:tc>
        <w:tc>
          <w:tcPr>
            <w:tcW w:type="dxa" w:w="1000"/>
            <w:tcMar>
              <w:top w:w="80" w:type="dxa"/>
              <w:start w:w="120" w:type="dxa"/>
              <w:bottom w:w="80" w:type="dxa"/>
              <w:end w:w="120" w:type="dxa"/>
            </w:tcMar>
            <w:vAlign w:val="center"/>
          </w:tcPr>
          <w:p>
            <w:pPr>
              <w:spacing w:after="0"/>
            </w:pPr>
            <w:r>
              <w:rPr>
                <w:rFonts w:ascii="Calibri" w:hAnsi="Calibri"/>
                <w:b w:val="0"/>
                <w:i w:val="0"/>
                <w:color w:val="111827"/>
                <w:sz w:val="19"/>
              </w:rPr>
              <w:t>Medium</w:t>
            </w:r>
          </w:p>
        </w:tc>
        <w:tc>
          <w:tcPr>
            <w:tcW w:type="dxa" w:w="3650"/>
            <w:tcMar>
              <w:top w:w="80" w:type="dxa"/>
              <w:start w:w="120" w:type="dxa"/>
              <w:bottom w:w="80" w:type="dxa"/>
              <w:end w:w="120" w:type="dxa"/>
            </w:tcMar>
            <w:vAlign w:val="center"/>
          </w:tcPr>
          <w:p>
            <w:pPr>
              <w:spacing w:after="0"/>
            </w:pPr>
            <w:r>
              <w:rPr>
                <w:rFonts w:ascii="Calibri" w:hAnsi="Calibri"/>
                <w:b w:val="0"/>
                <w:i w:val="0"/>
                <w:color w:val="111827"/>
                <w:sz w:val="19"/>
              </w:rPr>
              <w:t>POS accepts three hard-coded voucher values instead of validating through the offers API.</w:t>
            </w:r>
          </w:p>
        </w:tc>
        <w:tc>
          <w:tcPr>
            <w:tcW w:type="dxa" w:w="2660"/>
            <w:tcMar>
              <w:top w:w="80" w:type="dxa"/>
              <w:start w:w="120" w:type="dxa"/>
              <w:bottom w:w="80" w:type="dxa"/>
              <w:end w:w="120" w:type="dxa"/>
            </w:tcMar>
            <w:vAlign w:val="center"/>
          </w:tcPr>
          <w:p>
            <w:pPr>
              <w:spacing w:after="0"/>
            </w:pPr>
            <w:r>
              <w:rPr>
                <w:rFonts w:ascii="Calibri" w:hAnsi="Calibri"/>
                <w:b w:val="0"/>
                <w:i w:val="0"/>
                <w:color w:val="111827"/>
                <w:sz w:val="19"/>
              </w:rPr>
              <w:t>Discount rules can diverge from backend configuration.</w:t>
            </w:r>
          </w:p>
        </w:tc>
      </w:tr>
      <w:tr>
        <w:tc>
          <w:tcPr>
            <w:tcW w:type="dxa" w:w="2050"/>
            <w:tcMar>
              <w:top w:w="80" w:type="dxa"/>
              <w:start w:w="120" w:type="dxa"/>
              <w:bottom w:w="80" w:type="dxa"/>
              <w:end w:w="120" w:type="dxa"/>
            </w:tcMar>
            <w:vAlign w:val="center"/>
          </w:tcPr>
          <w:p>
            <w:pPr>
              <w:spacing w:after="0"/>
            </w:pPr>
            <w:r>
              <w:rPr>
                <w:rFonts w:ascii="Calibri" w:hAnsi="Calibri"/>
                <w:b/>
                <w:i w:val="0"/>
                <w:color w:val="111827"/>
                <w:sz w:val="19"/>
              </w:rPr>
              <w:t>Mock-looking controls</w:t>
            </w:r>
          </w:p>
        </w:tc>
        <w:tc>
          <w:tcPr>
            <w:tcW w:type="dxa" w:w="1000"/>
            <w:tcMar>
              <w:top w:w="80" w:type="dxa"/>
              <w:start w:w="120" w:type="dxa"/>
              <w:bottom w:w="80" w:type="dxa"/>
              <w:end w:w="120" w:type="dxa"/>
            </w:tcMar>
            <w:vAlign w:val="center"/>
          </w:tcPr>
          <w:p>
            <w:pPr>
              <w:spacing w:after="0"/>
            </w:pPr>
            <w:r>
              <w:rPr>
                <w:rFonts w:ascii="Calibri" w:hAnsi="Calibri"/>
                <w:b w:val="0"/>
                <w:i w:val="0"/>
                <w:color w:val="111827"/>
                <w:sz w:val="19"/>
              </w:rPr>
              <w:t>Medium</w:t>
            </w:r>
          </w:p>
        </w:tc>
        <w:tc>
          <w:tcPr>
            <w:tcW w:type="dxa" w:w="3650"/>
            <w:tcMar>
              <w:top w:w="80" w:type="dxa"/>
              <w:start w:w="120" w:type="dxa"/>
              <w:bottom w:w="80" w:type="dxa"/>
              <w:end w:w="120" w:type="dxa"/>
            </w:tcMar>
            <w:vAlign w:val="center"/>
          </w:tcPr>
          <w:p>
            <w:pPr>
              <w:spacing w:after="0"/>
            </w:pPr>
            <w:r>
              <w:rPr>
                <w:rFonts w:ascii="Calibri" w:hAnsi="Calibri"/>
                <w:b w:val="0"/>
                <w:i w:val="0"/>
                <w:color w:val="111827"/>
                <w:sz w:val="19"/>
              </w:rPr>
              <w:t>Several visible buttons and tabs have no implementation.</w:t>
            </w:r>
          </w:p>
        </w:tc>
        <w:tc>
          <w:tcPr>
            <w:tcW w:type="dxa" w:w="2660"/>
            <w:tcMar>
              <w:top w:w="80" w:type="dxa"/>
              <w:start w:w="120" w:type="dxa"/>
              <w:bottom w:w="80" w:type="dxa"/>
              <w:end w:w="120" w:type="dxa"/>
            </w:tcMar>
            <w:vAlign w:val="center"/>
          </w:tcPr>
          <w:p>
            <w:pPr>
              <w:spacing w:after="0"/>
            </w:pPr>
            <w:r>
              <w:rPr>
                <w:rFonts w:ascii="Calibri" w:hAnsi="Calibri"/>
                <w:b w:val="0"/>
                <w:i w:val="0"/>
                <w:color w:val="111827"/>
                <w:sz w:val="19"/>
              </w:rPr>
              <w:t>Users interpret inactive controls as API failure.</w:t>
            </w:r>
          </w:p>
        </w:tc>
      </w:tr>
      <w:tr>
        <w:tc>
          <w:tcPr>
            <w:tcW w:type="dxa" w:w="2050"/>
            <w:tcMar>
              <w:top w:w="80" w:type="dxa"/>
              <w:start w:w="120" w:type="dxa"/>
              <w:bottom w:w="80" w:type="dxa"/>
              <w:end w:w="120" w:type="dxa"/>
            </w:tcMar>
            <w:vAlign w:val="center"/>
          </w:tcPr>
          <w:p>
            <w:pPr>
              <w:spacing w:after="0"/>
            </w:pPr>
            <w:r>
              <w:rPr>
                <w:rFonts w:ascii="Calibri" w:hAnsi="Calibri"/>
                <w:b/>
                <w:i w:val="0"/>
                <w:color w:val="111827"/>
                <w:sz w:val="19"/>
              </w:rPr>
              <w:t>Integration coverage</w:t>
            </w:r>
          </w:p>
        </w:tc>
        <w:tc>
          <w:tcPr>
            <w:tcW w:type="dxa" w:w="1000"/>
            <w:tcMar>
              <w:top w:w="80" w:type="dxa"/>
              <w:start w:w="120" w:type="dxa"/>
              <w:bottom w:w="80" w:type="dxa"/>
              <w:end w:w="120" w:type="dxa"/>
            </w:tcMar>
            <w:vAlign w:val="center"/>
          </w:tcPr>
          <w:p>
            <w:pPr>
              <w:spacing w:after="0"/>
            </w:pPr>
            <w:r>
              <w:rPr>
                <w:rFonts w:ascii="Calibri" w:hAnsi="Calibri"/>
                <w:b w:val="0"/>
                <w:i w:val="0"/>
                <w:color w:val="111827"/>
                <w:sz w:val="19"/>
              </w:rPr>
              <w:t>Medium</w:t>
            </w:r>
          </w:p>
        </w:tc>
        <w:tc>
          <w:tcPr>
            <w:tcW w:type="dxa" w:w="3650"/>
            <w:tcMar>
              <w:top w:w="80" w:type="dxa"/>
              <w:start w:w="120" w:type="dxa"/>
              <w:bottom w:w="80" w:type="dxa"/>
              <w:end w:w="120" w:type="dxa"/>
            </w:tcMar>
            <w:vAlign w:val="center"/>
          </w:tcPr>
          <w:p>
            <w:pPr>
              <w:spacing w:after="0"/>
            </w:pPr>
            <w:r>
              <w:rPr>
                <w:rFonts w:ascii="Calibri" w:hAnsi="Calibri"/>
                <w:b w:val="0"/>
                <w:i w:val="0"/>
                <w:color w:val="111827"/>
                <w:sz w:val="19"/>
              </w:rPr>
              <w:t>Existing tests mock most API responses.</w:t>
            </w:r>
          </w:p>
        </w:tc>
        <w:tc>
          <w:tcPr>
            <w:tcW w:type="dxa" w:w="2660"/>
            <w:tcMar>
              <w:top w:w="80" w:type="dxa"/>
              <w:start w:w="120" w:type="dxa"/>
              <w:bottom w:w="80" w:type="dxa"/>
              <w:end w:w="120" w:type="dxa"/>
            </w:tcMar>
            <w:vAlign w:val="center"/>
          </w:tcPr>
          <w:p>
            <w:pPr>
              <w:spacing w:after="0"/>
            </w:pPr>
            <w:r>
              <w:rPr>
                <w:rFonts w:ascii="Calibri" w:hAnsi="Calibri"/>
                <w:b w:val="0"/>
                <w:i w:val="0"/>
                <w:color w:val="111827"/>
                <w:sz w:val="19"/>
              </w:rPr>
              <w:t>Passing tests do not prove authenticated live contract compatibility.</w:t>
            </w:r>
          </w:p>
        </w:tc>
      </w:tr>
    </w:tbl>
    <w:p>
      <w:pPr>
        <w:spacing w:after="40"/>
      </w:pPr>
    </w:p>
    <w:p>
      <w:pPr>
        <w:pStyle w:val="Heading1"/>
      </w:pPr>
      <w:r>
        <w:t>5. Modules with real API integration</w:t>
      </w:r>
    </w:p>
    <w:p>
      <w:pPr>
        <w:pStyle w:val="ListBullet"/>
        <w:spacing w:after="160" w:line="280" w:lineRule="auto"/>
        <w:ind w:left="720" w:hanging="360"/>
      </w:pPr>
      <w:r>
        <w:rPr>
          <w:rFonts w:ascii="Calibri" w:hAnsi="Calibri"/>
          <w:b w:val="0"/>
          <w:i w:val="0"/>
          <w:color w:val="111827"/>
          <w:sz w:val="22"/>
        </w:rPr>
        <w:t>Authentication, refresh tokens, persisted sessions, roles, and active sessions</w:t>
      </w:r>
    </w:p>
    <w:p>
      <w:pPr>
        <w:pStyle w:val="ListBullet"/>
        <w:spacing w:after="160" w:line="280" w:lineRule="auto"/>
        <w:ind w:left="720" w:hanging="360"/>
      </w:pPr>
      <w:r>
        <w:rPr>
          <w:rFonts w:ascii="Calibri" w:hAnsi="Calibri"/>
          <w:b w:val="0"/>
          <w:i w:val="0"/>
          <w:color w:val="111827"/>
          <w:sz w:val="22"/>
        </w:rPr>
        <w:t>Dashboard statistics and entitlement-controlled visibility</w:t>
      </w:r>
    </w:p>
    <w:p>
      <w:pPr>
        <w:pStyle w:val="ListBullet"/>
        <w:spacing w:after="160" w:line="280" w:lineRule="auto"/>
        <w:ind w:left="720" w:hanging="360"/>
      </w:pPr>
      <w:r>
        <w:rPr>
          <w:rFonts w:ascii="Calibri" w:hAnsi="Calibri"/>
          <w:b w:val="0"/>
          <w:i w:val="0"/>
          <w:color w:val="111827"/>
          <w:sz w:val="22"/>
        </w:rPr>
        <w:t>POS order creation, order listing, detail, and status updates</w:t>
      </w:r>
    </w:p>
    <w:p>
      <w:pPr>
        <w:pStyle w:val="ListBullet"/>
        <w:spacing w:after="160" w:line="280" w:lineRule="auto"/>
        <w:ind w:left="720" w:hanging="360"/>
      </w:pPr>
      <w:r>
        <w:rPr>
          <w:rFonts w:ascii="Calibri" w:hAnsi="Calibri"/>
          <w:b w:val="0"/>
          <w:i w:val="0"/>
          <w:color w:val="111827"/>
          <w:sz w:val="22"/>
        </w:rPr>
        <w:t>Menu categories, menu items, modifiers, combos, and image upload</w:t>
      </w:r>
    </w:p>
    <w:p>
      <w:pPr>
        <w:pStyle w:val="ListBullet"/>
        <w:spacing w:after="160" w:line="280" w:lineRule="auto"/>
        <w:ind w:left="720" w:hanging="360"/>
      </w:pPr>
      <w:r>
        <w:rPr>
          <w:rFonts w:ascii="Calibri" w:hAnsi="Calibri"/>
          <w:b w:val="0"/>
          <w:i w:val="0"/>
          <w:color w:val="111827"/>
          <w:sz w:val="22"/>
        </w:rPr>
        <w:t>Tables, table status, merge, transfer, kitchen display, and waiter requests</w:t>
      </w:r>
    </w:p>
    <w:p>
      <w:pPr>
        <w:pStyle w:val="ListBullet"/>
        <w:spacing w:after="160" w:line="280" w:lineRule="auto"/>
        <w:ind w:left="720" w:hanging="360"/>
      </w:pPr>
      <w:r>
        <w:rPr>
          <w:rFonts w:ascii="Calibri" w:hAnsi="Calibri"/>
          <w:b w:val="0"/>
          <w:i w:val="0"/>
          <w:color w:val="111827"/>
          <w:sz w:val="22"/>
        </w:rPr>
        <w:t>Customers, inventory, warehouses, stock adjustment, and stock transfer</w:t>
      </w:r>
    </w:p>
    <w:p>
      <w:pPr>
        <w:pStyle w:val="ListBullet"/>
        <w:spacing w:after="160" w:line="280" w:lineRule="auto"/>
        <w:ind w:left="720" w:hanging="360"/>
      </w:pPr>
      <w:r>
        <w:rPr>
          <w:rFonts w:ascii="Calibri" w:hAnsi="Calibri"/>
          <w:b w:val="0"/>
          <w:i w:val="0"/>
          <w:color w:val="111827"/>
          <w:sz w:val="22"/>
        </w:rPr>
        <w:t>Reservations, campaigns, expenses, accounting, analytics, and notifications</w:t>
      </w:r>
    </w:p>
    <w:p>
      <w:pPr>
        <w:pStyle w:val="ListBullet"/>
        <w:spacing w:after="160" w:line="280" w:lineRule="auto"/>
        <w:ind w:left="720" w:hanging="360"/>
      </w:pPr>
      <w:r>
        <w:rPr>
          <w:rFonts w:ascii="Calibri" w:hAnsi="Calibri"/>
          <w:b w:val="0"/>
          <w:i w:val="0"/>
          <w:color w:val="111827"/>
          <w:sz w:val="22"/>
        </w:rPr>
        <w:t>Tenant administration, subscription retrieval, plans, and plan entitlements</w:t>
      </w:r>
    </w:p>
    <w:p>
      <w:pPr>
        <w:pStyle w:val="ListBullet"/>
        <w:spacing w:after="160" w:line="280" w:lineRule="auto"/>
        <w:ind w:left="720" w:hanging="360"/>
      </w:pPr>
      <w:r>
        <w:rPr>
          <w:rFonts w:ascii="Calibri" w:hAnsi="Calibri"/>
          <w:b w:val="0"/>
          <w:i w:val="0"/>
          <w:color w:val="111827"/>
          <w:sz w:val="22"/>
        </w:rPr>
        <w:t>Restaurant settings, taxes, printers, and payment configuration flags</w:t>
      </w:r>
    </w:p>
    <w:p>
      <w:pPr>
        <w:pStyle w:val="Heading1"/>
      </w:pPr>
      <w:r>
        <w:t>6. Features without complete application screens</w:t>
      </w:r>
    </w:p>
    <w:p>
      <w:r>
        <w:t>The entitlement catalog contains more capabilities than the desktop application currently exposes as complete workflows.</w:t>
      </w:r>
    </w:p>
    <w:p>
      <w:pPr>
        <w:pStyle w:val="ListBullet"/>
        <w:spacing w:after="160" w:line="280" w:lineRule="auto"/>
        <w:ind w:left="720" w:hanging="360"/>
      </w:pPr>
      <w:r>
        <w:rPr>
          <w:rFonts w:ascii="Calibri" w:hAnsi="Calibri"/>
          <w:b w:val="0"/>
          <w:i w:val="0"/>
          <w:color w:val="111827"/>
          <w:sz w:val="22"/>
        </w:rPr>
        <w:t>Offers and coupon administration</w:t>
      </w:r>
    </w:p>
    <w:p>
      <w:pPr>
        <w:pStyle w:val="ListBullet"/>
        <w:spacing w:after="160" w:line="280" w:lineRule="auto"/>
        <w:ind w:left="720" w:hanging="360"/>
      </w:pPr>
      <w:r>
        <w:rPr>
          <w:rFonts w:ascii="Calibri" w:hAnsi="Calibri"/>
          <w:b w:val="0"/>
          <w:i w:val="0"/>
          <w:color w:val="111827"/>
          <w:sz w:val="22"/>
        </w:rPr>
        <w:t>Loyalty program administration</w:t>
      </w:r>
    </w:p>
    <w:p>
      <w:pPr>
        <w:pStyle w:val="ListBullet"/>
        <w:spacing w:after="160" w:line="280" w:lineRule="auto"/>
        <w:ind w:left="720" w:hanging="360"/>
      </w:pPr>
      <w:r>
        <w:rPr>
          <w:rFonts w:ascii="Calibri" w:hAnsi="Calibri"/>
          <w:b w:val="0"/>
          <w:i w:val="0"/>
          <w:color w:val="111827"/>
          <w:sz w:val="22"/>
        </w:rPr>
        <w:t>Multi-branch management workflow</w:t>
      </w:r>
    </w:p>
    <w:p>
      <w:pPr>
        <w:pStyle w:val="ListBullet"/>
        <w:spacing w:after="160" w:line="280" w:lineRule="auto"/>
        <w:ind w:left="720" w:hanging="360"/>
      </w:pPr>
      <w:r>
        <w:rPr>
          <w:rFonts w:ascii="Calibri" w:hAnsi="Calibri"/>
          <w:b w:val="0"/>
          <w:i w:val="0"/>
          <w:color w:val="111827"/>
          <w:sz w:val="22"/>
        </w:rPr>
        <w:t>Custom-domain configuration</w:t>
      </w:r>
    </w:p>
    <w:p>
      <w:pPr>
        <w:pStyle w:val="ListBullet"/>
        <w:spacing w:after="160" w:line="280" w:lineRule="auto"/>
        <w:ind w:left="720" w:hanging="360"/>
      </w:pPr>
      <w:r>
        <w:rPr>
          <w:rFonts w:ascii="Calibri" w:hAnsi="Calibri"/>
          <w:b w:val="0"/>
          <w:i w:val="0"/>
          <w:color w:val="111827"/>
          <w:sz w:val="22"/>
        </w:rPr>
        <w:t>White-label configuration</w:t>
      </w:r>
    </w:p>
    <w:p>
      <w:pPr>
        <w:pStyle w:val="ListBullet"/>
        <w:spacing w:after="160" w:line="280" w:lineRule="auto"/>
        <w:ind w:left="720" w:hanging="360"/>
      </w:pPr>
      <w:r>
        <w:rPr>
          <w:rFonts w:ascii="Calibri" w:hAnsi="Calibri"/>
          <w:b w:val="0"/>
          <w:i w:val="0"/>
          <w:color w:val="111827"/>
          <w:sz w:val="22"/>
        </w:rPr>
        <w:t>API-access management</w:t>
      </w:r>
    </w:p>
    <w:p>
      <w:pPr>
        <w:pStyle w:val="ListBullet"/>
        <w:spacing w:after="160" w:line="280" w:lineRule="auto"/>
        <w:ind w:left="720" w:hanging="360"/>
      </w:pPr>
      <w:r>
        <w:rPr>
          <w:rFonts w:ascii="Calibri" w:hAnsi="Calibri"/>
          <w:b w:val="0"/>
          <w:i w:val="0"/>
          <w:color w:val="111827"/>
          <w:sz w:val="22"/>
        </w:rPr>
        <w:t>Priority-support workflow</w:t>
      </w:r>
    </w:p>
    <w:p>
      <w:pPr>
        <w:pStyle w:val="ListBullet"/>
        <w:spacing w:after="160" w:line="280" w:lineRule="auto"/>
        <w:ind w:left="720" w:hanging="360"/>
      </w:pPr>
      <w:r>
        <w:rPr>
          <w:rFonts w:ascii="Calibri" w:hAnsi="Calibri"/>
          <w:b w:val="0"/>
          <w:i w:val="0"/>
          <w:color w:val="111827"/>
          <w:sz w:val="22"/>
        </w:rPr>
        <w:t>Recipe management</w:t>
      </w:r>
    </w:p>
    <w:p>
      <w:pPr>
        <w:pStyle w:val="ListBullet"/>
        <w:spacing w:after="160" w:line="280" w:lineRule="auto"/>
        <w:ind w:left="720" w:hanging="360"/>
      </w:pPr>
      <w:r>
        <w:rPr>
          <w:rFonts w:ascii="Calibri" w:hAnsi="Calibri"/>
          <w:b w:val="0"/>
          <w:i w:val="0"/>
          <w:color w:val="111827"/>
          <w:sz w:val="22"/>
        </w:rPr>
        <w:t>Dedicated payments administration</w:t>
      </w:r>
    </w:p>
    <w:p>
      <w:pPr>
        <w:pStyle w:val="ListBullet"/>
        <w:spacing w:after="160" w:line="280" w:lineRule="auto"/>
        <w:ind w:left="720" w:hanging="360"/>
      </w:pPr>
      <w:r>
        <w:rPr>
          <w:rFonts w:ascii="Calibri" w:hAnsi="Calibri"/>
          <w:b w:val="0"/>
          <w:i w:val="0"/>
          <w:color w:val="111827"/>
          <w:sz w:val="22"/>
        </w:rPr>
        <w:t>Audit-log administration</w:t>
      </w:r>
    </w:p>
    <w:p>
      <w:pPr>
        <w:pStyle w:val="Heading1"/>
      </w:pPr>
      <w:r>
        <w:t>7. Recommended remediation order</w:t>
      </w:r>
    </w:p>
    <w:tbl>
      <w:tblPr>
        <w:tblStyle w:val="TableGrid"/>
        <w:tblW w:type="dxa" w:w="9360"/>
        <w:tblLayout w:type="fixed"/>
        <w:tblLook w:firstColumn="1" w:firstRow="1" w:lastColumn="0" w:lastRow="0" w:noHBand="0" w:noVBand="1" w:val="04A0"/>
        <w:jc w:val="left"/>
        <w:tblInd w:w="120" w:type="dxa"/>
      </w:tblPr>
      <w:tblGrid>
        <w:gridCol w:w="1100"/>
        <w:gridCol w:w="3000"/>
        <w:gridCol w:w="5260"/>
      </w:tblGrid>
      <w:tr>
        <w:trPr>
          <w:tblHeader/>
        </w:trPr>
        <w:tc>
          <w:tcPr>
            <w:tcW w:type="dxa" w:w="1100"/>
            <w:tcMar>
              <w:top w:w="80" w:type="dxa"/>
              <w:start w:w="120" w:type="dxa"/>
              <w:bottom w:w="80" w:type="dxa"/>
              <w:end w:w="120" w:type="dxa"/>
            </w:tcMar>
            <w:vAlign w:val="center"/>
            <w:shd w:fill="E8EEF5"/>
          </w:tcPr>
          <w:p>
            <w:pPr>
              <w:spacing w:after="0"/>
            </w:pPr>
            <w:r>
              <w:rPr>
                <w:rFonts w:ascii="Calibri" w:hAnsi="Calibri"/>
                <w:b/>
                <w:i w:val="0"/>
                <w:color w:val="1F4D78"/>
                <w:sz w:val="20"/>
              </w:rPr>
              <w:t>Priority</w:t>
            </w:r>
          </w:p>
        </w:tc>
        <w:tc>
          <w:tcPr>
            <w:tcW w:type="dxa" w:w="3000"/>
            <w:tcMar>
              <w:top w:w="80" w:type="dxa"/>
              <w:start w:w="120" w:type="dxa"/>
              <w:bottom w:w="80" w:type="dxa"/>
              <w:end w:w="120" w:type="dxa"/>
            </w:tcMar>
            <w:vAlign w:val="center"/>
            <w:shd w:fill="E8EEF5"/>
          </w:tcPr>
          <w:p>
            <w:pPr>
              <w:spacing w:after="0"/>
            </w:pPr>
            <w:r>
              <w:rPr>
                <w:rFonts w:ascii="Calibri" w:hAnsi="Calibri"/>
                <w:b/>
                <w:i w:val="0"/>
                <w:color w:val="1F4D78"/>
                <w:sz w:val="20"/>
              </w:rPr>
              <w:t>Action</w:t>
            </w:r>
          </w:p>
        </w:tc>
        <w:tc>
          <w:tcPr>
            <w:tcW w:type="dxa" w:w="5260"/>
            <w:tcMar>
              <w:top w:w="80" w:type="dxa"/>
              <w:start w:w="120" w:type="dxa"/>
              <w:bottom w:w="80" w:type="dxa"/>
              <w:end w:w="120" w:type="dxa"/>
            </w:tcMar>
            <w:vAlign w:val="center"/>
            <w:shd w:fill="E8EEF5"/>
          </w:tcPr>
          <w:p>
            <w:pPr>
              <w:spacing w:after="0"/>
            </w:pPr>
            <w:r>
              <w:rPr>
                <w:rFonts w:ascii="Calibri" w:hAnsi="Calibri"/>
                <w:b/>
                <w:i w:val="0"/>
                <w:color w:val="1F4D78"/>
                <w:sz w:val="20"/>
              </w:rPr>
              <w:t>Implementation direction</w:t>
            </w:r>
          </w:p>
        </w:tc>
      </w:tr>
      <w:tr>
        <w:tc>
          <w:tcPr>
            <w:tcW w:type="dxa" w:w="1100"/>
            <w:tcMar>
              <w:top w:w="80" w:type="dxa"/>
              <w:start w:w="120" w:type="dxa"/>
              <w:bottom w:w="80" w:type="dxa"/>
              <w:end w:w="120" w:type="dxa"/>
            </w:tcMar>
            <w:vAlign w:val="center"/>
          </w:tcPr>
          <w:p>
            <w:pPr>
              <w:spacing w:after="0"/>
            </w:pPr>
            <w:r>
              <w:rPr>
                <w:rFonts w:ascii="Calibri" w:hAnsi="Calibri"/>
                <w:b/>
                <w:i w:val="0"/>
                <w:color w:val="111827"/>
                <w:sz w:val="19"/>
              </w:rPr>
              <w:t>P0</w:t>
            </w:r>
          </w:p>
        </w:tc>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Fix Electron binary response/download support</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9"/>
              </w:rPr>
              <w:t>Preserve response bytes, status, headers, filename, and responseType through IPC.</w:t>
            </w:r>
          </w:p>
        </w:tc>
      </w:tr>
      <w:tr>
        <w:tc>
          <w:tcPr>
            <w:tcW w:type="dxa" w:w="1100"/>
            <w:tcMar>
              <w:top w:w="80" w:type="dxa"/>
              <w:start w:w="120" w:type="dxa"/>
              <w:bottom w:w="80" w:type="dxa"/>
              <w:end w:w="120" w:type="dxa"/>
            </w:tcMar>
            <w:vAlign w:val="center"/>
          </w:tcPr>
          <w:p>
            <w:pPr>
              <w:spacing w:after="0"/>
            </w:pPr>
            <w:r>
              <w:rPr>
                <w:rFonts w:ascii="Calibri" w:hAnsi="Calibri"/>
                <w:b/>
                <w:i w:val="0"/>
                <w:color w:val="111827"/>
                <w:sz w:val="19"/>
              </w:rPr>
              <w:t>P0</w:t>
            </w:r>
          </w:p>
        </w:tc>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Correct TenantPlan types</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9"/>
              </w:rPr>
              <w:t>Model priceMonthly, priceYearly, trialDays, type, and the live response shape.</w:t>
            </w:r>
          </w:p>
        </w:tc>
      </w:tr>
      <w:tr>
        <w:tc>
          <w:tcPr>
            <w:tcW w:type="dxa" w:w="1100"/>
            <w:tcMar>
              <w:top w:w="80" w:type="dxa"/>
              <w:start w:w="120" w:type="dxa"/>
              <w:bottom w:w="80" w:type="dxa"/>
              <w:end w:w="120" w:type="dxa"/>
            </w:tcMar>
            <w:vAlign w:val="center"/>
          </w:tcPr>
          <w:p>
            <w:pPr>
              <w:spacing w:after="0"/>
            </w:pPr>
            <w:r>
              <w:rPr>
                <w:rFonts w:ascii="Calibri" w:hAnsi="Calibri"/>
                <w:b/>
                <w:i w:val="0"/>
                <w:color w:val="111827"/>
                <w:sz w:val="19"/>
              </w:rPr>
              <w:t>P1</w:t>
            </w:r>
          </w:p>
        </w:tc>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Implement or hide inactive controls</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9"/>
              </w:rPr>
              <w:t>Remove false affordances until employee, staff, notification delete, CRM notes, and exports are implemented.</w:t>
            </w:r>
          </w:p>
        </w:tc>
      </w:tr>
      <w:tr>
        <w:tc>
          <w:tcPr>
            <w:tcW w:type="dxa" w:w="1100"/>
            <w:tcMar>
              <w:top w:w="80" w:type="dxa"/>
              <w:start w:w="120" w:type="dxa"/>
              <w:bottom w:w="80" w:type="dxa"/>
              <w:end w:w="120" w:type="dxa"/>
            </w:tcMar>
            <w:vAlign w:val="center"/>
          </w:tcPr>
          <w:p>
            <w:pPr>
              <w:spacing w:after="0"/>
            </w:pPr>
            <w:r>
              <w:rPr>
                <w:rFonts w:ascii="Calibri" w:hAnsi="Calibri"/>
                <w:b/>
                <w:i w:val="0"/>
                <w:color w:val="111827"/>
                <w:sz w:val="19"/>
              </w:rPr>
              <w:t>P1</w:t>
            </w:r>
          </w:p>
        </w:tc>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Replace hard-coded vouchers</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9"/>
              </w:rPr>
              <w:t>Validate offer codes and totals through backend endpoints.</w:t>
            </w:r>
          </w:p>
        </w:tc>
      </w:tr>
      <w:tr>
        <w:tc>
          <w:tcPr>
            <w:tcW w:type="dxa" w:w="1100"/>
            <w:tcMar>
              <w:top w:w="80" w:type="dxa"/>
              <w:start w:w="120" w:type="dxa"/>
              <w:bottom w:w="80" w:type="dxa"/>
              <w:end w:w="120" w:type="dxa"/>
            </w:tcMar>
            <w:vAlign w:val="center"/>
          </w:tcPr>
          <w:p>
            <w:pPr>
              <w:spacing w:after="0"/>
            </w:pPr>
            <w:r>
              <w:rPr>
                <w:rFonts w:ascii="Calibri" w:hAnsi="Calibri"/>
                <w:b/>
                <w:i w:val="0"/>
                <w:color w:val="111827"/>
                <w:sz w:val="19"/>
              </w:rPr>
              <w:t>P1</w:t>
            </w:r>
          </w:p>
        </w:tc>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Add authenticated contract tests</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9"/>
              </w:rPr>
              <w:t>Test core read/write flows against a controlled tenant and test account.</w:t>
            </w:r>
          </w:p>
        </w:tc>
      </w:tr>
      <w:tr>
        <w:tc>
          <w:tcPr>
            <w:tcW w:type="dxa" w:w="1100"/>
            <w:tcMar>
              <w:top w:w="80" w:type="dxa"/>
              <w:start w:w="120" w:type="dxa"/>
              <w:bottom w:w="80" w:type="dxa"/>
              <w:end w:w="120" w:type="dxa"/>
            </w:tcMar>
            <w:vAlign w:val="center"/>
          </w:tcPr>
          <w:p>
            <w:pPr>
              <w:spacing w:after="0"/>
            </w:pPr>
            <w:r>
              <w:rPr>
                <w:rFonts w:ascii="Calibri" w:hAnsi="Calibri"/>
                <w:b/>
                <w:i w:val="0"/>
                <w:color w:val="111827"/>
                <w:sz w:val="19"/>
              </w:rPr>
              <w:t>P2</w:t>
            </w:r>
          </w:p>
        </w:tc>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Complete settings persistence</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9"/>
              </w:rPr>
              <w:t>Persist language, auto-print, and device-specific printer behavior.</w:t>
            </w:r>
          </w:p>
        </w:tc>
      </w:tr>
      <w:tr>
        <w:tc>
          <w:tcPr>
            <w:tcW w:type="dxa" w:w="1100"/>
            <w:tcMar>
              <w:top w:w="80" w:type="dxa"/>
              <w:start w:w="120" w:type="dxa"/>
              <w:bottom w:w="80" w:type="dxa"/>
              <w:end w:w="120" w:type="dxa"/>
            </w:tcMar>
            <w:vAlign w:val="center"/>
          </w:tcPr>
          <w:p>
            <w:pPr>
              <w:spacing w:after="0"/>
            </w:pPr>
            <w:r>
              <w:rPr>
                <w:rFonts w:ascii="Calibri" w:hAnsi="Calibri"/>
                <w:b/>
                <w:i w:val="0"/>
                <w:color w:val="111827"/>
                <w:sz w:val="19"/>
              </w:rPr>
              <w:t>P2</w:t>
            </w:r>
          </w:p>
        </w:tc>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Build missing entitlement screens</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9"/>
              </w:rPr>
              <w:t>Add only the plan features that the product intends to expose on desktop.</w:t>
            </w:r>
          </w:p>
        </w:tc>
      </w:tr>
    </w:tbl>
    <w:p>
      <w:pPr>
        <w:spacing w:after="40"/>
      </w:pPr>
    </w:p>
    <w:p>
      <w:pPr>
        <w:pStyle w:val="Heading1"/>
      </w:pPr>
      <w:r>
        <w:t>8. Verification results</w:t>
      </w:r>
    </w:p>
    <w:p>
      <w:pPr>
        <w:pStyle w:val="ListBullet"/>
        <w:spacing w:after="160" w:line="280" w:lineRule="auto"/>
        <w:ind w:left="720" w:hanging="360"/>
      </w:pPr>
      <w:r>
        <w:rPr>
          <w:rFonts w:ascii="Calibri" w:hAnsi="Calibri"/>
          <w:b w:val="0"/>
          <w:i w:val="0"/>
          <w:color w:val="111827"/>
          <w:sz w:val="22"/>
        </w:rPr>
        <w:t>TypeScript strict check: passed.</w:t>
      </w:r>
    </w:p>
    <w:p>
      <w:pPr>
        <w:pStyle w:val="ListBullet"/>
        <w:spacing w:after="160" w:line="280" w:lineRule="auto"/>
        <w:ind w:left="720" w:hanging="360"/>
      </w:pPr>
      <w:r>
        <w:rPr>
          <w:rFonts w:ascii="Calibri" w:hAnsi="Calibri"/>
          <w:b w:val="0"/>
          <w:i w:val="0"/>
          <w:color w:val="111827"/>
          <w:sz w:val="22"/>
        </w:rPr>
        <w:t>Automated tests: 34 passed across 7 test files.</w:t>
      </w:r>
    </w:p>
    <w:p>
      <w:pPr>
        <w:pStyle w:val="ListBullet"/>
        <w:spacing w:after="160" w:line="280" w:lineRule="auto"/>
        <w:ind w:left="720" w:hanging="360"/>
      </w:pPr>
      <w:r>
        <w:rPr>
          <w:rFonts w:ascii="Calibri" w:hAnsi="Calibri"/>
          <w:b w:val="0"/>
          <w:i w:val="0"/>
          <w:color w:val="111827"/>
          <w:sz w:val="22"/>
        </w:rPr>
        <w:t>Electron production build: passed.</w:t>
      </w:r>
    </w:p>
    <w:p>
      <w:pPr>
        <w:pStyle w:val="ListBullet"/>
        <w:spacing w:after="160" w:line="280" w:lineRule="auto"/>
        <w:ind w:left="720" w:hanging="360"/>
      </w:pPr>
      <w:r>
        <w:rPr>
          <w:rFonts w:ascii="Calibri" w:hAnsi="Calibri"/>
          <w:b w:val="0"/>
          <w:i w:val="0"/>
          <w:color w:val="111827"/>
          <w:sz w:val="22"/>
        </w:rPr>
        <w:t>Public backend check: HTTP 200.</w:t>
      </w:r>
    </w:p>
    <w:p>
      <w:pPr>
        <w:pStyle w:val="ListBullet"/>
        <w:spacing w:after="160" w:line="280" w:lineRule="auto"/>
        <w:ind w:left="720" w:hanging="360"/>
      </w:pPr>
      <w:r>
        <w:rPr>
          <w:rFonts w:ascii="Calibri" w:hAnsi="Calibri"/>
          <w:b w:val="0"/>
          <w:i w:val="0"/>
          <w:color w:val="111827"/>
          <w:sz w:val="22"/>
        </w:rPr>
        <w:t>Protected route probes: 27 routes returned HTTP 401 without credentials, confirming deployment.</w:t>
      </w:r>
    </w:p>
    <w:p>
      <w:pPr>
        <w:pStyle w:val="Heading1"/>
      </w:pPr>
      <w:r>
        <w:t>9. Conclusion</w:t>
      </w:r>
    </w:p>
    <w:p>
      <w:r>
        <w:t>DineHub Desktop is connected to a live backend and many core restaurant workflows are API-backed. The perception that the backend is disconnected is primarily caused by launching the renderer outside Electron, inactive UI controls, binary export handling, and incomplete modules. Addressing the P0 items first will remove the most visible failures and make subsequent feature testing substantially more reliable.</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DINEHUB DESKTOP  |  TECHNICAL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DineHub Desktop Feature and API Audit</dc:title>
  <dc:subject>Feature functionality and backend connectivity assessment</dc:subject>
  <dc:creator>DineHub Engineering Audit</dc:creator>
  <cp:keywords>DineHub, Electron, API, feature audit, backend connectivity</cp:keywords>
  <dc:description>generated by python-docx</dc:description>
  <cp:lastModifiedBy/>
  <cp:revision>1</cp:revision>
  <dcterms:created xsi:type="dcterms:W3CDTF">2013-12-23T23:15:00Z</dcterms:created>
  <dcterms:modified xsi:type="dcterms:W3CDTF">2013-12-23T23:15:00Z</dcterms:modified>
  <cp:category/>
</cp:coreProperties>
</file>