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1646"/>
        <w:gridCol w:w="3730"/>
        <w:gridCol w:w="2887"/>
      </w:tblGrid>
      <w:tr w:rsidR="00375973" w:rsidRPr="00C12E08" w14:paraId="55A3633F" w14:textId="77777777" w:rsidTr="009B1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F0CC1A4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76D8EB0" w14:textId="77777777" w:rsidR="00375973" w:rsidRPr="00C12E08" w:rsidRDefault="00375973" w:rsidP="009B1A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Evidence type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107D52D" w14:textId="77777777" w:rsidR="00375973" w:rsidRPr="00C12E08" w:rsidRDefault="00375973" w:rsidP="009B1A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Examples of retained evidence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489CDA8" w14:textId="77777777" w:rsidR="00375973" w:rsidRPr="00C12E08" w:rsidRDefault="00375973" w:rsidP="009B1A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Interpretation</w:t>
            </w:r>
          </w:p>
        </w:tc>
      </w:tr>
      <w:tr w:rsidR="00375973" w:rsidRPr="00C12E08" w14:paraId="4BF5F2E2" w14:textId="77777777" w:rsidTr="009B1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8235C96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FA3CFD6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Functional keyword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A6953EE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lipase, esterase, phospholipase, lipoxygenase, peroxidase, aldehyde dehydrogenase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5C5AFCC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Functional description linked to rancidity biology</w:t>
            </w:r>
          </w:p>
        </w:tc>
      </w:tr>
      <w:tr w:rsidR="00375973" w:rsidRPr="00C12E08" w14:paraId="4B2D5C2F" w14:textId="77777777" w:rsidTr="009B1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573B6C6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378845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EC class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739DB3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hydrolase, oxidoreductase, dehydrogenase, oxidase, peroxidase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275C5AE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Biochemical enzyme-level support</w:t>
            </w:r>
          </w:p>
        </w:tc>
      </w:tr>
      <w:tr w:rsidR="00375973" w:rsidRPr="00C12E08" w14:paraId="04531155" w14:textId="77777777" w:rsidTr="009B1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63644DA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AFC2781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KO/pathway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6843E35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lipid metabolism, fatty-acid degradation, oxidative stress, detoxification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532F87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Pathway-level support</w:t>
            </w:r>
          </w:p>
        </w:tc>
      </w:tr>
      <w:tr w:rsidR="00375973" w:rsidRPr="00C12E08" w14:paraId="2270571B" w14:textId="77777777" w:rsidTr="009B1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1CCA1B4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64363B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Conserved domain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98145FB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lipase domain, peroxidase domain, dehydrogenase domain, FAD/NAD-binding domain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66A923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Structural/domain-level support</w:t>
            </w:r>
          </w:p>
          <w:p w14:paraId="5073A6C4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</w:p>
          <w:p w14:paraId="7FD17B33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</w:p>
        </w:tc>
      </w:tr>
    </w:tbl>
    <w:p w14:paraId="7A12EAC6" w14:textId="697AF1E7" w:rsidR="00614BDF" w:rsidRDefault="00375973">
      <w:r w:rsidRPr="00375973">
        <w:t>Additional file 2. Evidence layers used for rancidity-focused candidate gene prioritization.</w:t>
      </w:r>
    </w:p>
    <w:sectPr w:rsidR="0061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31"/>
    <w:rsid w:val="00056344"/>
    <w:rsid w:val="00236F90"/>
    <w:rsid w:val="00375973"/>
    <w:rsid w:val="00614BDF"/>
    <w:rsid w:val="006A6B9D"/>
    <w:rsid w:val="007A3FAE"/>
    <w:rsid w:val="00C5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3166"/>
  <w15:chartTrackingRefBased/>
  <w15:docId w15:val="{D1CB74E5-5219-45A9-8074-521407CD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73"/>
    <w:pPr>
      <w:spacing w:after="120" w:line="276" w:lineRule="auto"/>
    </w:pPr>
    <w:rPr>
      <w:rFonts w:ascii="Times New Roman" w:eastAsia="Times New Roman" w:hAnsi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4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3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3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3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3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34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34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3431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31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3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31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99"/>
    <w:rsid w:val="00375973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3</cp:revision>
  <dcterms:created xsi:type="dcterms:W3CDTF">2026-05-08T18:36:00Z</dcterms:created>
  <dcterms:modified xsi:type="dcterms:W3CDTF">2026-05-26T10:10:00Z</dcterms:modified>
</cp:coreProperties>
</file>