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shd w:val="clear" w:color="auto" w:fill="FFFFFF" w:themeFill="background1"/>
        <w:tblLook w:val="04A0" w:firstRow="1" w:lastRow="0" w:firstColumn="1" w:lastColumn="0" w:noHBand="0" w:noVBand="1"/>
      </w:tblPr>
      <w:tblGrid>
        <w:gridCol w:w="763"/>
        <w:gridCol w:w="1646"/>
        <w:gridCol w:w="3730"/>
        <w:gridCol w:w="2887"/>
      </w:tblGrid>
      <w:tr w:rsidR="00375973" w:rsidRPr="00C12E08" w14:paraId="55A3633F" w14:textId="77777777" w:rsidTr="009B1A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4F0CC1A4" w14:textId="77777777" w:rsidR="00375973" w:rsidRPr="00C12E08" w:rsidRDefault="00375973" w:rsidP="009B1AA8">
            <w:pPr>
              <w:jc w:val="both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Gate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376D8EB0" w14:textId="77777777" w:rsidR="00375973" w:rsidRPr="00C12E08" w:rsidRDefault="00375973" w:rsidP="009B1AA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Evidence type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0107D52D" w14:textId="77777777" w:rsidR="00375973" w:rsidRPr="00C12E08" w:rsidRDefault="00375973" w:rsidP="009B1AA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Examples of retained evidence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2489CDA8" w14:textId="77777777" w:rsidR="00375973" w:rsidRPr="00C12E08" w:rsidRDefault="00375973" w:rsidP="009B1AA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Interpretation</w:t>
            </w:r>
          </w:p>
        </w:tc>
      </w:tr>
      <w:tr w:rsidR="00375973" w:rsidRPr="00C12E08" w14:paraId="4BF5F2E2" w14:textId="77777777" w:rsidTr="009B1A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78235C96" w14:textId="77777777" w:rsidR="00375973" w:rsidRPr="00C12E08" w:rsidRDefault="00375973" w:rsidP="009B1AA8">
            <w:pPr>
              <w:jc w:val="both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Gate 1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7FA3CFD6" w14:textId="77777777" w:rsidR="00375973" w:rsidRPr="00C12E08" w:rsidRDefault="00375973" w:rsidP="009B1AA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Functional keyword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4A6953EE" w14:textId="77777777" w:rsidR="00375973" w:rsidRPr="00C12E08" w:rsidRDefault="00375973" w:rsidP="009B1AA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lipase, esterase, phospholipase, lipoxygenase, peroxidase, aldehyde dehydrogenase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45C5AFCC" w14:textId="77777777" w:rsidR="00375973" w:rsidRPr="00C12E08" w:rsidRDefault="00375973" w:rsidP="009B1AA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Functional description linked to rancidity biology</w:t>
            </w:r>
          </w:p>
        </w:tc>
      </w:tr>
      <w:tr w:rsidR="00375973" w:rsidRPr="00C12E08" w14:paraId="4B2D5C2F" w14:textId="77777777" w:rsidTr="009B1A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3573B6C6" w14:textId="77777777" w:rsidR="00375973" w:rsidRPr="00C12E08" w:rsidRDefault="00375973" w:rsidP="009B1AA8">
            <w:pPr>
              <w:jc w:val="both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Gate 2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33378845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EC class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74739DB3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hydrolase, oxidoreductase, dehydrogenase, oxidase, peroxidase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1275C5AE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Biochemical enzyme-level support</w:t>
            </w:r>
          </w:p>
        </w:tc>
      </w:tr>
      <w:tr w:rsidR="00375973" w:rsidRPr="00C12E08" w14:paraId="04531155" w14:textId="77777777" w:rsidTr="009B1A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263644DA" w14:textId="77777777" w:rsidR="00375973" w:rsidRPr="00C12E08" w:rsidRDefault="00375973" w:rsidP="009B1AA8">
            <w:pPr>
              <w:jc w:val="both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Gate 3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0AFC2781" w14:textId="77777777" w:rsidR="00375973" w:rsidRPr="00C12E08" w:rsidRDefault="00375973" w:rsidP="009B1AA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KO/pathway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06843E35" w14:textId="77777777" w:rsidR="00375973" w:rsidRPr="00C12E08" w:rsidRDefault="00375973" w:rsidP="009B1AA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lipid metabolism, fatty-acid degradation, oxidative stress, detoxification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1A532F87" w14:textId="77777777" w:rsidR="00375973" w:rsidRPr="00C12E08" w:rsidRDefault="00375973" w:rsidP="009B1AA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Pathway-level support</w:t>
            </w:r>
          </w:p>
        </w:tc>
      </w:tr>
      <w:tr w:rsidR="00375973" w:rsidRPr="00C12E08" w14:paraId="2270571B" w14:textId="77777777" w:rsidTr="009B1A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FFFFFF" w:themeFill="background1"/>
            <w:hideMark/>
          </w:tcPr>
          <w:p w14:paraId="01CCA1B4" w14:textId="77777777" w:rsidR="00375973" w:rsidRPr="00C12E08" w:rsidRDefault="00375973" w:rsidP="009B1AA8">
            <w:pPr>
              <w:jc w:val="both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Gate 4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2264363B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Conserved domain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798145FB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lipase domain, peroxidase domain, dehydrogenase domain, FAD/NAD-binding domain</w:t>
            </w:r>
          </w:p>
        </w:tc>
        <w:tc>
          <w:tcPr>
            <w:tcW w:w="0" w:type="auto"/>
            <w:shd w:val="clear" w:color="auto" w:fill="FFFFFF" w:themeFill="background1"/>
            <w:hideMark/>
          </w:tcPr>
          <w:p w14:paraId="6F66A923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  <w:r w:rsidRPr="00C12E08">
              <w:rPr>
                <w:rFonts w:cs="Times New Roman"/>
                <w:sz w:val="24"/>
                <w:szCs w:val="24"/>
                <w:lang w:val="en-IN"/>
              </w:rPr>
              <w:t>Structural/domain-level support</w:t>
            </w:r>
          </w:p>
          <w:p w14:paraId="5073A6C4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</w:p>
          <w:p w14:paraId="7FD17B33" w14:textId="77777777" w:rsidR="00375973" w:rsidRPr="00C12E08" w:rsidRDefault="00375973" w:rsidP="009B1AA8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 w:val="24"/>
                <w:szCs w:val="24"/>
                <w:lang w:val="en-IN"/>
              </w:rPr>
            </w:pPr>
          </w:p>
        </w:tc>
      </w:tr>
    </w:tbl>
    <w:p w14:paraId="7A12EAC6" w14:textId="697AF1E7" w:rsidR="00614BDF" w:rsidRDefault="00375973">
      <w:r w:rsidRPr="00375973">
        <w:t>Additional file 2. Evidence gates used for rancidity-focused candidate prioritization.</w:t>
      </w:r>
    </w:p>
    <w:sectPr w:rsidR="00614B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431"/>
    <w:rsid w:val="00056344"/>
    <w:rsid w:val="00236F90"/>
    <w:rsid w:val="00375973"/>
    <w:rsid w:val="00614BDF"/>
    <w:rsid w:val="006A6B9D"/>
    <w:rsid w:val="007A3FAE"/>
    <w:rsid w:val="00C53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1B3166"/>
  <w15:chartTrackingRefBased/>
  <w15:docId w15:val="{D1CB74E5-5219-45A9-8074-521407CD4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973"/>
    <w:pPr>
      <w:spacing w:after="120" w:line="276" w:lineRule="auto"/>
    </w:pPr>
    <w:rPr>
      <w:rFonts w:ascii="Times New Roman" w:eastAsia="Times New Roman" w:hAnsi="Times New Roman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343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50"/>
      <w:lang w:val="en-IN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343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40"/>
      <w:lang w:val="en-IN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343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35"/>
      <w:lang w:val="en-IN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343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Cs w:val="28"/>
      <w:lang w:val="en-IN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343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:lang w:val="en-IN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3431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Cs w:val="28"/>
      <w:lang w:val="en-IN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3431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8"/>
      <w:lang w:val="en-IN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3431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8"/>
      <w:lang w:val="en-IN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3431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8"/>
      <w:lang w:val="en-IN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43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343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3431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34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34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34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34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34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34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34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  <w:lang w:val="en-IN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5343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343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35"/>
      <w:lang w:val="en-IN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5343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53431"/>
    <w:pPr>
      <w:spacing w:before="160" w:after="160" w:line="259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Cs w:val="28"/>
      <w:lang w:val="en-IN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534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3431"/>
    <w:pPr>
      <w:spacing w:after="160" w:line="259" w:lineRule="auto"/>
      <w:ind w:left="720"/>
      <w:contextualSpacing/>
    </w:pPr>
    <w:rPr>
      <w:rFonts w:asciiTheme="minorHAnsi" w:eastAsiaTheme="minorHAnsi" w:hAnsiTheme="minorHAnsi"/>
      <w:kern w:val="2"/>
      <w:szCs w:val="28"/>
      <w:lang w:val="en-IN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534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34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/>
      <w:i/>
      <w:iCs/>
      <w:color w:val="2F5496" w:themeColor="accent1" w:themeShade="BF"/>
      <w:kern w:val="2"/>
      <w:szCs w:val="28"/>
      <w:lang w:val="en-IN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34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3431"/>
    <w:rPr>
      <w:b/>
      <w:bCs/>
      <w:smallCaps/>
      <w:color w:val="2F5496" w:themeColor="accent1" w:themeShade="BF"/>
      <w:spacing w:val="5"/>
    </w:rPr>
  </w:style>
  <w:style w:type="table" w:styleId="PlainTable4">
    <w:name w:val="Plain Table 4"/>
    <w:basedOn w:val="TableNormal"/>
    <w:uiPriority w:val="99"/>
    <w:rsid w:val="00375973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582</Characters>
  <Application>Microsoft Office Word</Application>
  <DocSecurity>0</DocSecurity>
  <Lines>4</Lines>
  <Paragraphs>1</Paragraphs>
  <ScaleCrop>false</ScaleCrop>
  <Company/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singh</dc:creator>
  <cp:keywords/>
  <dc:description/>
  <cp:lastModifiedBy>abhinav singh</cp:lastModifiedBy>
  <cp:revision>3</cp:revision>
  <dcterms:created xsi:type="dcterms:W3CDTF">2026-05-08T18:36:00Z</dcterms:created>
  <dcterms:modified xsi:type="dcterms:W3CDTF">2026-05-26T10:10:00Z</dcterms:modified>
</cp:coreProperties>
</file>