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532F04">
      <w:pPr>
        <w:spacing w:before="1040"/>
      </w:pPr>
      <w:r>
        <w:rPr>
          <w:rFonts w:ascii="Aptos Display" w:hAnsi="Aptos Display"/>
          <w:b/>
          <w:color w:val="0F7C86"/>
          <w:sz w:val="30"/>
        </w:rPr>
        <w:t>NYC YELLOW TAXI</w:t>
      </w:r>
    </w:p>
    <w:p w14:paraId="79FC31F6">
      <w:pPr>
        <w:pStyle w:val="36"/>
        <w:spacing w:after="160"/>
      </w:pPr>
      <w:r>
        <w:t>Business Requirements Document</w:t>
      </w:r>
    </w:p>
    <w:p w14:paraId="5A667B94">
      <w:pPr>
        <w:spacing w:after="440"/>
      </w:pPr>
      <w:r>
        <w:rPr>
          <w:rFonts w:ascii="Aptos" w:hAnsi="Aptos"/>
          <w:color w:val="5B6573"/>
          <w:sz w:val="26"/>
        </w:rPr>
        <w:t>Business objectives • stakeholder needs • scope • success measures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04BEC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7" w:type="dxa"/>
            <w:shd w:val="clear" w:color="auto" w:fill="EAF2F8"/>
            <w:vAlign w:val="center"/>
          </w:tcPr>
          <w:p w14:paraId="4A51A541">
            <w:pPr>
              <w:spacing w:after="40"/>
            </w:pPr>
            <w:r>
              <w:rPr>
                <w:rFonts w:ascii="Aptos" w:hAnsi="Aptos"/>
                <w:b/>
                <w:color w:val="17365D"/>
                <w:sz w:val="18"/>
              </w:rPr>
              <w:t>Project</w:t>
            </w:r>
          </w:p>
        </w:tc>
        <w:tc>
          <w:tcPr>
            <w:tcW w:w="4997" w:type="dxa"/>
            <w:vAlign w:val="center"/>
          </w:tcPr>
          <w:p w14:paraId="0731EDCE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8"/>
              </w:rPr>
              <w:t>NYC Yellow Taxi Analytics</w:t>
            </w:r>
          </w:p>
        </w:tc>
      </w:tr>
      <w:tr w14:paraId="34B43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7" w:type="dxa"/>
            <w:shd w:val="clear" w:color="auto" w:fill="EAF2F8"/>
            <w:vAlign w:val="center"/>
          </w:tcPr>
          <w:p w14:paraId="0655C3E4">
            <w:pPr>
              <w:spacing w:after="40"/>
            </w:pPr>
            <w:r>
              <w:rPr>
                <w:rFonts w:ascii="Aptos" w:hAnsi="Aptos"/>
                <w:b/>
                <w:color w:val="17365D"/>
                <w:sz w:val="18"/>
              </w:rPr>
              <w:t>Reporting period</w:t>
            </w:r>
          </w:p>
        </w:tc>
        <w:tc>
          <w:tcPr>
            <w:tcW w:w="4997" w:type="dxa"/>
            <w:vAlign w:val="center"/>
          </w:tcPr>
          <w:p w14:paraId="4FA0542A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8"/>
              </w:rPr>
              <w:t>February 1–28, 2026; business analysis represents 27 dates</w:t>
            </w:r>
          </w:p>
        </w:tc>
      </w:tr>
      <w:tr w14:paraId="7FE7A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7" w:type="dxa"/>
            <w:shd w:val="clear" w:color="auto" w:fill="EAF2F8"/>
            <w:vAlign w:val="center"/>
          </w:tcPr>
          <w:p w14:paraId="4ABBD398">
            <w:pPr>
              <w:spacing w:after="40"/>
            </w:pPr>
            <w:r>
              <w:rPr>
                <w:rFonts w:ascii="Aptos" w:hAnsi="Aptos"/>
                <w:b/>
                <w:color w:val="17365D"/>
                <w:sz w:val="18"/>
              </w:rPr>
              <w:t>Technology context</w:t>
            </w:r>
          </w:p>
        </w:tc>
        <w:tc>
          <w:tcPr>
            <w:tcW w:w="4997" w:type="dxa"/>
            <w:vAlign w:val="center"/>
          </w:tcPr>
          <w:p w14:paraId="7808B84B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8"/>
              </w:rPr>
              <w:t>MySQL Workbench and Microsoft Power BI</w:t>
            </w:r>
          </w:p>
        </w:tc>
      </w:tr>
      <w:tr w14:paraId="39EF4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7" w:type="dxa"/>
            <w:shd w:val="clear" w:color="auto" w:fill="EAF2F8"/>
            <w:vAlign w:val="center"/>
          </w:tcPr>
          <w:p w14:paraId="1FE7FC43">
            <w:pPr>
              <w:spacing w:after="40"/>
            </w:pPr>
            <w:r>
              <w:rPr>
                <w:rFonts w:ascii="Aptos" w:hAnsi="Aptos"/>
                <w:b/>
                <w:color w:val="17365D"/>
                <w:sz w:val="18"/>
              </w:rPr>
              <w:t>Document identifier</w:t>
            </w:r>
          </w:p>
        </w:tc>
        <w:tc>
          <w:tcPr>
            <w:tcW w:w="4997" w:type="dxa"/>
            <w:vAlign w:val="center"/>
          </w:tcPr>
          <w:p w14:paraId="46886248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8"/>
              </w:rPr>
              <w:t>BRD- NYC-TAXI-2026-02</w:t>
            </w:r>
          </w:p>
        </w:tc>
      </w:tr>
    </w:tbl>
    <w:p w14:paraId="65D2A700"/>
    <w:p w14:paraId="7B98C717">
      <w:pPr>
        <w:spacing w:before="440"/>
      </w:pPr>
      <w:r>
        <w:rPr>
          <w:b/>
          <w:color w:val="17365D"/>
          <w:sz w:val="22"/>
        </w:rPr>
        <w:t>Purpose</w:t>
      </w:r>
    </w:p>
    <w:p w14:paraId="71556F50">
      <w:pPr>
        <w:spacing w:after="400"/>
      </w:pPr>
      <w:r>
        <w:t>This document defines the business or functional requirements relevant to the documented analytics workflow. Requirements are scoped to the work evidenced in the supplied project artifacts; it does not imply an operational taxi-dispatch system or production deployment.</w:t>
      </w:r>
    </w:p>
    <w:p w14:paraId="416C128E">
      <w:r>
        <w:rPr>
          <w:b/>
          <w:color w:val="0F7C86"/>
        </w:rPr>
        <w:t xml:space="preserve">Evidence and status principle  </w:t>
      </w:r>
      <w:r>
        <w:t>Requirements and validation states must reflect what is documented or actually tested. Unknown implementation details are left open for confirmation rather than invented.</w:t>
      </w:r>
    </w:p>
    <w:p w14:paraId="3B49CDAC">
      <w:r>
        <w:br w:type="page"/>
      </w:r>
    </w:p>
    <w:p w14:paraId="5BFEA56C">
      <w:pPr>
        <w:pStyle w:val="2"/>
      </w:pPr>
      <w:r>
        <w:t>1. Executive overview</w:t>
      </w:r>
    </w:p>
    <w:p w14:paraId="1C23CE8C">
      <w:r>
        <w:t>This project turns February 2026 NYC Yellow Taxi trip records into a documented analytical dataset and a Power BI reporting experience. The business purpose is to make trip activity, recorded trip amounts, temporal demand, pickup geography, route-directionality patterns, and illustrative sensitivity scenarios easier to explore consistently.</w:t>
      </w:r>
    </w:p>
    <w:p w14:paraId="43B98E32">
      <w:r>
        <w:t>The reporting population documented for the business-analysis layer is 3,329,782 trips. The business table contains 27 of the 28 calendar dates in February; February 23 is absent. The reason for that absence has not been established, so the coverage limitation must remain visible in reporting and interpretation.</w:t>
      </w:r>
    </w:p>
    <w:p w14:paraId="44F46967">
      <w:pPr>
        <w:pStyle w:val="2"/>
      </w:pPr>
      <w:r>
        <w:t>2. Business context and problem statement</w:t>
      </w:r>
    </w:p>
    <w:p w14:paraId="7AB59A0E">
      <w:r>
        <w:t>Trip-level data at this scale is difficult to interpret reliably without a controlled preparation process, consistent KPI definitions, and a reporting layer that supports comparisons across time and location. The project addresses this analytical need through staged SQL tables, documented transformation decisions, summary datasets, and a six-area Power BI report.</w:t>
      </w:r>
    </w:p>
    <w:p w14:paraId="44FD941E">
      <w:pPr>
        <w:pStyle w:val="2"/>
      </w:pPr>
      <w:r>
        <w:t>3. Business objectives</w:t>
      </w:r>
    </w:p>
    <w:p w14:paraId="4FE1EB24">
      <w:pPr>
        <w:pStyle w:val="23"/>
        <w:spacing w:after="40"/>
      </w:pPr>
      <w:r>
        <w:t>Establish a traceable path from the imported source population to the curated business-analysis population.</w:t>
      </w:r>
    </w:p>
    <w:p w14:paraId="442AC4D6">
      <w:pPr>
        <w:pStyle w:val="23"/>
        <w:spacing w:after="40"/>
      </w:pPr>
      <w:r>
        <w:t>Provide consistent definitions for trip count, recorded total amount, average recorded amount per trip, aggregate amount per mile, duration, and other documented measures.</w:t>
      </w:r>
    </w:p>
    <w:p w14:paraId="072B6C0A">
      <w:pPr>
        <w:pStyle w:val="23"/>
        <w:spacing w:after="40"/>
      </w:pPr>
      <w:r>
        <w:t>Enable exploration of demand by date and time and comparison across pickup locations.</w:t>
      </w:r>
    </w:p>
    <w:p w14:paraId="0B1DFB34">
      <w:pPr>
        <w:pStyle w:val="23"/>
        <w:spacing w:after="40"/>
      </w:pPr>
      <w:r>
        <w:t>Describe route-directionality differences and airport pickup-zone patterns without implying causation or profit recovery.</w:t>
      </w:r>
    </w:p>
    <w:p w14:paraId="14BBA57B">
      <w:pPr>
        <w:pStyle w:val="23"/>
        <w:spacing w:after="40"/>
      </w:pPr>
      <w:r>
        <w:t>Present illustrative percentage-uplift scenarios as sensitivity analysis rather than forecasts.</w:t>
      </w:r>
    </w:p>
    <w:p w14:paraId="662D6813">
      <w:pPr>
        <w:pStyle w:val="23"/>
        <w:spacing w:after="40"/>
      </w:pPr>
      <w:r>
        <w:t>Document data-quality decisions, known coverage limitations, and evidence required for validation.</w:t>
      </w:r>
    </w:p>
    <w:p w14:paraId="1A02CD72">
      <w:pPr>
        <w:pStyle w:val="2"/>
      </w:pPr>
      <w:r>
        <w:t>4. Intended stakeholder groups and needs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3528"/>
        <w:gridCol w:w="4320"/>
      </w:tblGrid>
      <w:tr w14:paraId="2056B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2" w:type="dxa"/>
            <w:shd w:val="clear" w:color="auto" w:fill="17365D"/>
            <w:vAlign w:val="center"/>
          </w:tcPr>
          <w:p w14:paraId="6F4E9EA8"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Stakeholder group</w:t>
            </w:r>
          </w:p>
        </w:tc>
        <w:tc>
          <w:tcPr>
            <w:tcW w:w="3528" w:type="dxa"/>
            <w:shd w:val="clear" w:color="auto" w:fill="17365D"/>
            <w:vAlign w:val="center"/>
          </w:tcPr>
          <w:p w14:paraId="1B2835FE"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Information need</w:t>
            </w:r>
          </w:p>
        </w:tc>
        <w:tc>
          <w:tcPr>
            <w:tcW w:w="4320" w:type="dxa"/>
            <w:shd w:val="clear" w:color="auto" w:fill="17365D"/>
            <w:vAlign w:val="center"/>
          </w:tcPr>
          <w:p w14:paraId="1E85EF1A"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Project response</w:t>
            </w:r>
          </w:p>
        </w:tc>
      </w:tr>
      <w:tr w14:paraId="43A48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5C1F363F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Business decision-makers / executive readers</w:t>
            </w:r>
          </w:p>
        </w:tc>
        <w:tc>
          <w:tcPr>
            <w:tcW w:w="3528" w:type="dxa"/>
            <w:vAlign w:val="center"/>
          </w:tcPr>
          <w:p w14:paraId="5C829DF9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A concise view of activity, recorded amounts, patterns, limitations, and possible follow-up actions.</w:t>
            </w:r>
          </w:p>
        </w:tc>
        <w:tc>
          <w:tcPr>
            <w:tcW w:w="4320" w:type="dxa"/>
            <w:vAlign w:val="center"/>
          </w:tcPr>
          <w:p w14:paraId="04F5EDE0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Executive summary, headline KPIs, business insights report, executive dashboard pages.</w:t>
            </w:r>
          </w:p>
        </w:tc>
      </w:tr>
      <w:tr w14:paraId="3A837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F3F6F9"/>
            <w:vAlign w:val="center"/>
          </w:tcPr>
          <w:p w14:paraId="71219209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Operations or service-planning analysts</w:t>
            </w:r>
          </w:p>
        </w:tc>
        <w:tc>
          <w:tcPr>
            <w:tcW w:w="3528" w:type="dxa"/>
            <w:shd w:val="clear" w:color="auto" w:fill="F3F6F9"/>
            <w:vAlign w:val="center"/>
          </w:tcPr>
          <w:p w14:paraId="080FF756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Time and location patterns that can inform further investigation and planning.</w:t>
            </w:r>
          </w:p>
        </w:tc>
        <w:tc>
          <w:tcPr>
            <w:tcW w:w="4320" w:type="dxa"/>
            <w:shd w:val="clear" w:color="auto" w:fill="F3F6F9"/>
            <w:vAlign w:val="center"/>
          </w:tcPr>
          <w:p w14:paraId="1584A2BC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Demand &amp; Time Intelligence and Location Intelligence views; documented interpretation caveats.</w:t>
            </w:r>
          </w:p>
        </w:tc>
      </w:tr>
      <w:tr w14:paraId="5505A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5DA41FA2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Data / BI analysts</w:t>
            </w:r>
          </w:p>
        </w:tc>
        <w:tc>
          <w:tcPr>
            <w:tcW w:w="3528" w:type="dxa"/>
            <w:vAlign w:val="center"/>
          </w:tcPr>
          <w:p w14:paraId="27B30AAF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Definitions, lineage, SQL logic, validation evidence, and reproducible metric calculations.</w:t>
            </w:r>
          </w:p>
        </w:tc>
        <w:tc>
          <w:tcPr>
            <w:tcW w:w="4320" w:type="dxa"/>
            <w:vAlign w:val="center"/>
          </w:tcPr>
          <w:p w14:paraId="45F9A871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SQL runbook, data dictionary, KPI dictionary, transformation notes, validation artifacts.</w:t>
            </w:r>
          </w:p>
        </w:tc>
      </w:tr>
      <w:tr w14:paraId="07553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F3F6F9"/>
            <w:vAlign w:val="center"/>
          </w:tcPr>
          <w:p w14:paraId="4CEE8414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Report users / reviewers</w:t>
            </w:r>
          </w:p>
        </w:tc>
        <w:tc>
          <w:tcPr>
            <w:tcW w:w="3528" w:type="dxa"/>
            <w:shd w:val="clear" w:color="auto" w:fill="F3F6F9"/>
            <w:vAlign w:val="center"/>
          </w:tcPr>
          <w:p w14:paraId="2BC6578F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Clear page purpose, consistent metric meanings, and guidance for interpreting the report.</w:t>
            </w:r>
          </w:p>
        </w:tc>
        <w:tc>
          <w:tcPr>
            <w:tcW w:w="4320" w:type="dxa"/>
            <w:shd w:val="clear" w:color="auto" w:fill="F3F6F9"/>
            <w:vAlign w:val="center"/>
          </w:tcPr>
          <w:p w14:paraId="7D178209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Dashboard specification, user guide, and documented KPI definitions.</w:t>
            </w:r>
          </w:p>
        </w:tc>
      </w:tr>
      <w:tr w14:paraId="21D47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5D683F15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Project maintainers</w:t>
            </w:r>
          </w:p>
        </w:tc>
        <w:tc>
          <w:tcPr>
            <w:tcW w:w="3528" w:type="dxa"/>
            <w:vAlign w:val="center"/>
          </w:tcPr>
          <w:p w14:paraId="61C34D85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Known dependencies, unresolved data issues, and handover information.</w:t>
            </w:r>
          </w:p>
        </w:tc>
        <w:tc>
          <w:tcPr>
            <w:tcW w:w="4320" w:type="dxa"/>
            <w:vAlign w:val="center"/>
          </w:tcPr>
          <w:p w14:paraId="682344ED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Architecture and data-flow artifacts, quality assessment, testing report, and handover audit.</w:t>
            </w:r>
          </w:p>
        </w:tc>
      </w:tr>
    </w:tbl>
    <w:p w14:paraId="1F721B6E">
      <w:pPr>
        <w:spacing w:after="20"/>
      </w:pPr>
    </w:p>
    <w:p w14:paraId="6AEE8F45">
      <w:pPr>
        <w:pStyle w:val="2"/>
      </w:pPr>
      <w:r>
        <w:t>5. Scope</w:t>
      </w:r>
    </w:p>
    <w:p w14:paraId="3AB81844">
      <w:pPr>
        <w:pStyle w:val="3"/>
      </w:pPr>
      <w:r>
        <w:t>5.1 Included</w:t>
      </w:r>
    </w:p>
    <w:p w14:paraId="2CD8AAB6">
      <w:pPr>
        <w:pStyle w:val="23"/>
        <w:spacing w:after="40"/>
      </w:pPr>
      <w:r>
        <w:t>February 2026 NYC Yellow Taxi trip records and the documented MySQL staged-table workflow.</w:t>
      </w:r>
    </w:p>
    <w:p w14:paraId="0A8D601C">
      <w:pPr>
        <w:pStyle w:val="23"/>
        <w:spacing w:after="40"/>
      </w:pPr>
      <w:r>
        <w:t>Row-count reconciliation across source, cleaned, final, and business-analysis layers.</w:t>
      </w:r>
    </w:p>
    <w:p w14:paraId="59B7CAA4">
      <w:pPr>
        <w:pStyle w:val="23"/>
        <w:spacing w:after="40"/>
      </w:pPr>
      <w:r>
        <w:t>Trip-volume, recorded-amount, duration, time-of-day, pickup-location, route-directionality, and scenario-sensitivity analysis.</w:t>
      </w:r>
    </w:p>
    <w:p w14:paraId="1788C43A">
      <w:pPr>
        <w:pStyle w:val="23"/>
        <w:spacing w:after="40"/>
      </w:pPr>
      <w:r>
        <w:t>Supporting summary tables and SQL validation queries documented in the project artifacts.</w:t>
      </w:r>
    </w:p>
    <w:p w14:paraId="5BE7A2F6">
      <w:pPr>
        <w:pStyle w:val="23"/>
        <w:spacing w:after="40"/>
      </w:pPr>
      <w:r>
        <w:t>Power BI reporting across six documented areas: Executive Dashboard, Executive Overview, Demand &amp; Time Intelligence, Location Intelligence, Route &amp; Airport Intelligence, and Business Opportunities.</w:t>
      </w:r>
    </w:p>
    <w:p w14:paraId="2049AB86">
      <w:pPr>
        <w:pStyle w:val="23"/>
        <w:spacing w:after="40"/>
      </w:pPr>
      <w:r>
        <w:t>Documentation of KPIs, data-quality observations, limitations, and reporting interpretation.</w:t>
      </w:r>
    </w:p>
    <w:p w14:paraId="77BD1DA0">
      <w:pPr>
        <w:pStyle w:val="3"/>
      </w:pPr>
      <w:r>
        <w:t>5.2 Out of scope</w:t>
      </w:r>
    </w:p>
    <w:p w14:paraId="5AA7185F">
      <w:pPr>
        <w:pStyle w:val="23"/>
        <w:spacing w:after="40"/>
      </w:pPr>
      <w:r>
        <w:t>Real-time dispatch, fleet routing, driver assignment, or automated operational decisions.</w:t>
      </w:r>
    </w:p>
    <w:p w14:paraId="46CB74B1">
      <w:pPr>
        <w:pStyle w:val="23"/>
        <w:spacing w:after="40"/>
      </w:pPr>
      <w:r>
        <w:t>Driver take-home pay, platform profit, or net revenue estimates not supported by the available fields.</w:t>
      </w:r>
    </w:p>
    <w:p w14:paraId="2EE3990C">
      <w:pPr>
        <w:pStyle w:val="23"/>
        <w:spacing w:after="40"/>
      </w:pPr>
      <w:r>
        <w:t>Causal attribution for observed patterns without additional evidence.</w:t>
      </w:r>
    </w:p>
    <w:p w14:paraId="6B90FD87">
      <w:pPr>
        <w:pStyle w:val="23"/>
        <w:spacing w:after="40"/>
      </w:pPr>
      <w:r>
        <w:t>Treating scenario percentages as forecasts, guaranteed savings, or realized financial outcomes.</w:t>
      </w:r>
    </w:p>
    <w:p w14:paraId="72BEB107">
      <w:pPr>
        <w:pStyle w:val="23"/>
        <w:spacing w:after="40"/>
      </w:pPr>
      <w:r>
        <w:t>Production hosting, scheduled refresh, gateway setup, access-control implementation, or service-level commitments unless separately implemented and verified.</w:t>
      </w:r>
    </w:p>
    <w:p w14:paraId="4A924344">
      <w:pPr>
        <w:pStyle w:val="2"/>
      </w:pPr>
      <w:r>
        <w:t>6. Business requirements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1944"/>
        <w:gridCol w:w="6408"/>
        <w:gridCol w:w="850"/>
      </w:tblGrid>
      <w:tr w14:paraId="5C065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2" w:type="dxa"/>
            <w:shd w:val="clear" w:color="auto" w:fill="17365D"/>
            <w:vAlign w:val="center"/>
          </w:tcPr>
          <w:p w14:paraId="46EABDE4"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w="1944" w:type="dxa"/>
            <w:shd w:val="clear" w:color="auto" w:fill="17365D"/>
            <w:vAlign w:val="center"/>
          </w:tcPr>
          <w:p w14:paraId="625FB77F"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  <w:tc>
          <w:tcPr>
            <w:tcW w:w="6408" w:type="dxa"/>
            <w:shd w:val="clear" w:color="auto" w:fill="17365D"/>
            <w:vAlign w:val="center"/>
          </w:tcPr>
          <w:p w14:paraId="5699473F"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Business requirement statement</w:t>
            </w:r>
          </w:p>
        </w:tc>
        <w:tc>
          <w:tcPr>
            <w:tcW w:w="792" w:type="dxa"/>
            <w:shd w:val="clear" w:color="auto" w:fill="17365D"/>
            <w:vAlign w:val="center"/>
          </w:tcPr>
          <w:p w14:paraId="77C170EE"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Priority</w:t>
            </w:r>
          </w:p>
        </w:tc>
      </w:tr>
      <w:tr w14:paraId="75ED3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center"/>
          </w:tcPr>
          <w:p w14:paraId="5C5C14EB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BR-01</w:t>
            </w:r>
          </w:p>
        </w:tc>
        <w:tc>
          <w:tcPr>
            <w:tcW w:w="1944" w:type="dxa"/>
            <w:vAlign w:val="center"/>
          </w:tcPr>
          <w:p w14:paraId="38BE2099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Curated analytical population</w:t>
            </w:r>
          </w:p>
        </w:tc>
        <w:tc>
          <w:tcPr>
            <w:tcW w:w="6408" w:type="dxa"/>
            <w:vAlign w:val="center"/>
          </w:tcPr>
          <w:p w14:paraId="368E758A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The project shall provide a documented business-analysis table for reporting, with its inclusion rules and known exclusions described.</w:t>
            </w:r>
          </w:p>
        </w:tc>
        <w:tc>
          <w:tcPr>
            <w:tcW w:w="792" w:type="dxa"/>
            <w:vAlign w:val="center"/>
          </w:tcPr>
          <w:p w14:paraId="453B40D6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Core</w:t>
            </w:r>
          </w:p>
        </w:tc>
      </w:tr>
      <w:tr w14:paraId="74D3B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shd w:val="clear" w:color="auto" w:fill="F3F6F9"/>
            <w:vAlign w:val="center"/>
          </w:tcPr>
          <w:p w14:paraId="570CEFC8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BR-02</w:t>
            </w:r>
          </w:p>
        </w:tc>
        <w:tc>
          <w:tcPr>
            <w:tcW w:w="1944" w:type="dxa"/>
            <w:shd w:val="clear" w:color="auto" w:fill="F3F6F9"/>
            <w:vAlign w:val="center"/>
          </w:tcPr>
          <w:p w14:paraId="141A281F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Traceable data preparation</w:t>
            </w:r>
          </w:p>
        </w:tc>
        <w:tc>
          <w:tcPr>
            <w:tcW w:w="6408" w:type="dxa"/>
            <w:shd w:val="clear" w:color="auto" w:fill="F3F6F9"/>
            <w:vAlign w:val="center"/>
          </w:tcPr>
          <w:p w14:paraId="1ABDF8AC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The project shall document the staged source-to-business row counts and explain the categories of changes between stages.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77381534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Core</w:t>
            </w:r>
          </w:p>
        </w:tc>
      </w:tr>
      <w:tr w14:paraId="5370A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center"/>
          </w:tcPr>
          <w:p w14:paraId="6A812E90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BR-03</w:t>
            </w:r>
          </w:p>
        </w:tc>
        <w:tc>
          <w:tcPr>
            <w:tcW w:w="1944" w:type="dxa"/>
            <w:vAlign w:val="center"/>
          </w:tcPr>
          <w:p w14:paraId="28ACD617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Consistent KPI definitions</w:t>
            </w:r>
          </w:p>
        </w:tc>
        <w:tc>
          <w:tcPr>
            <w:tcW w:w="6408" w:type="dxa"/>
            <w:vAlign w:val="center"/>
          </w:tcPr>
          <w:p w14:paraId="53B17313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Headline metrics shall use standardized names, calculation logic, units, and interpretation notes across the dashboard and documentation.</w:t>
            </w:r>
          </w:p>
        </w:tc>
        <w:tc>
          <w:tcPr>
            <w:tcW w:w="792" w:type="dxa"/>
            <w:vAlign w:val="center"/>
          </w:tcPr>
          <w:p w14:paraId="56BD9D2E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Core</w:t>
            </w:r>
          </w:p>
        </w:tc>
      </w:tr>
      <w:tr w14:paraId="6F1E0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shd w:val="clear" w:color="auto" w:fill="F3F6F9"/>
            <w:vAlign w:val="center"/>
          </w:tcPr>
          <w:p w14:paraId="10EE7DBC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BR-04</w:t>
            </w:r>
          </w:p>
        </w:tc>
        <w:tc>
          <w:tcPr>
            <w:tcW w:w="1944" w:type="dxa"/>
            <w:shd w:val="clear" w:color="auto" w:fill="F3F6F9"/>
            <w:vAlign w:val="center"/>
          </w:tcPr>
          <w:p w14:paraId="5FC0221D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Executive visibility</w:t>
            </w:r>
          </w:p>
        </w:tc>
        <w:tc>
          <w:tcPr>
            <w:tcW w:w="6408" w:type="dxa"/>
            <w:shd w:val="clear" w:color="auto" w:fill="F3F6F9"/>
            <w:vAlign w:val="center"/>
          </w:tcPr>
          <w:p w14:paraId="726B33CB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The reporting experience shall provide an accessible summary of overall activity and recorded trip amounts.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65917D01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Core</w:t>
            </w:r>
          </w:p>
        </w:tc>
      </w:tr>
      <w:tr w14:paraId="244DB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center"/>
          </w:tcPr>
          <w:p w14:paraId="7809A6B8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BR-05</w:t>
            </w:r>
          </w:p>
        </w:tc>
        <w:tc>
          <w:tcPr>
            <w:tcW w:w="1944" w:type="dxa"/>
            <w:vAlign w:val="center"/>
          </w:tcPr>
          <w:p w14:paraId="5814A020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Temporal demand analysis</w:t>
            </w:r>
          </w:p>
        </w:tc>
        <w:tc>
          <w:tcPr>
            <w:tcW w:w="6408" w:type="dxa"/>
            <w:vAlign w:val="center"/>
          </w:tcPr>
          <w:p w14:paraId="7CFF3DB9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The reporting experience shall support analysis of trip activity across the available date/time dimensions.</w:t>
            </w:r>
          </w:p>
        </w:tc>
        <w:tc>
          <w:tcPr>
            <w:tcW w:w="792" w:type="dxa"/>
            <w:vAlign w:val="center"/>
          </w:tcPr>
          <w:p w14:paraId="355B03C5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Core</w:t>
            </w:r>
          </w:p>
        </w:tc>
      </w:tr>
      <w:tr w14:paraId="527B6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shd w:val="clear" w:color="auto" w:fill="F3F6F9"/>
            <w:vAlign w:val="center"/>
          </w:tcPr>
          <w:p w14:paraId="6600EFFB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BR-06</w:t>
            </w:r>
          </w:p>
        </w:tc>
        <w:tc>
          <w:tcPr>
            <w:tcW w:w="1944" w:type="dxa"/>
            <w:shd w:val="clear" w:color="auto" w:fill="F3F6F9"/>
            <w:vAlign w:val="center"/>
          </w:tcPr>
          <w:p w14:paraId="04DF852D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Geographic analysis</w:t>
            </w:r>
          </w:p>
        </w:tc>
        <w:tc>
          <w:tcPr>
            <w:tcW w:w="6408" w:type="dxa"/>
            <w:shd w:val="clear" w:color="auto" w:fill="F3F6F9"/>
            <w:vAlign w:val="center"/>
          </w:tcPr>
          <w:p w14:paraId="37CB7498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The reporting experience shall support comparison of activity and recorded amounts by pickup location, where available in the documented model.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6D8FCAB3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Core</w:t>
            </w:r>
          </w:p>
        </w:tc>
      </w:tr>
      <w:tr w14:paraId="598B4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center"/>
          </w:tcPr>
          <w:p w14:paraId="33344D56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BR-07</w:t>
            </w:r>
          </w:p>
        </w:tc>
        <w:tc>
          <w:tcPr>
            <w:tcW w:w="1944" w:type="dxa"/>
            <w:vAlign w:val="center"/>
          </w:tcPr>
          <w:p w14:paraId="71697B8C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Route and airport interpretation</w:t>
            </w:r>
          </w:p>
        </w:tc>
        <w:tc>
          <w:tcPr>
            <w:tcW w:w="6408" w:type="dxa"/>
            <w:vAlign w:val="center"/>
          </w:tcPr>
          <w:p w14:paraId="1C7C293D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Route-directionality and airport measures shall clearly identify the comparison basis and avoid unsupported claims about causation or profit.</w:t>
            </w:r>
          </w:p>
        </w:tc>
        <w:tc>
          <w:tcPr>
            <w:tcW w:w="792" w:type="dxa"/>
            <w:vAlign w:val="center"/>
          </w:tcPr>
          <w:p w14:paraId="551B1EC9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Core</w:t>
            </w:r>
          </w:p>
        </w:tc>
      </w:tr>
      <w:tr w14:paraId="20F0F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shd w:val="clear" w:color="auto" w:fill="F3F6F9"/>
            <w:vAlign w:val="center"/>
          </w:tcPr>
          <w:p w14:paraId="42F626D3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BR-08</w:t>
            </w:r>
          </w:p>
        </w:tc>
        <w:tc>
          <w:tcPr>
            <w:tcW w:w="1944" w:type="dxa"/>
            <w:shd w:val="clear" w:color="auto" w:fill="F3F6F9"/>
            <w:vAlign w:val="center"/>
          </w:tcPr>
          <w:p w14:paraId="17914A77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Scenario transparency</w:t>
            </w:r>
          </w:p>
        </w:tc>
        <w:tc>
          <w:tcPr>
            <w:tcW w:w="6408" w:type="dxa"/>
            <w:shd w:val="clear" w:color="auto" w:fill="F3F6F9"/>
            <w:vAlign w:val="center"/>
          </w:tcPr>
          <w:p w14:paraId="6B5E156F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Percentage-uplift calculations shall be labelled as illustrative scenarios and not presented as forecasts.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019D4C31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Core</w:t>
            </w:r>
          </w:p>
        </w:tc>
      </w:tr>
      <w:tr w14:paraId="1D2A9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center"/>
          </w:tcPr>
          <w:p w14:paraId="492DE30F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BR-09</w:t>
            </w:r>
          </w:p>
        </w:tc>
        <w:tc>
          <w:tcPr>
            <w:tcW w:w="1944" w:type="dxa"/>
            <w:vAlign w:val="center"/>
          </w:tcPr>
          <w:p w14:paraId="241358CB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Data-quality transparency</w:t>
            </w:r>
          </w:p>
        </w:tc>
        <w:tc>
          <w:tcPr>
            <w:tcW w:w="6408" w:type="dxa"/>
            <w:vAlign w:val="center"/>
          </w:tcPr>
          <w:p w14:paraId="69ABB973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Known data-quality issues and coverage limitations shall be disclosed wherever they materially affect interpretation.</w:t>
            </w:r>
          </w:p>
        </w:tc>
        <w:tc>
          <w:tcPr>
            <w:tcW w:w="792" w:type="dxa"/>
            <w:vAlign w:val="center"/>
          </w:tcPr>
          <w:p w14:paraId="7947340C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Core</w:t>
            </w:r>
          </w:p>
        </w:tc>
      </w:tr>
      <w:tr w14:paraId="7EA6A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shd w:val="clear" w:color="auto" w:fill="F3F6F9"/>
            <w:vAlign w:val="center"/>
          </w:tcPr>
          <w:p w14:paraId="0436F1BD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BR-10</w:t>
            </w:r>
          </w:p>
        </w:tc>
        <w:tc>
          <w:tcPr>
            <w:tcW w:w="1944" w:type="dxa"/>
            <w:shd w:val="clear" w:color="auto" w:fill="F3F6F9"/>
            <w:vAlign w:val="center"/>
          </w:tcPr>
          <w:p w14:paraId="390FF9A4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Validation traceability</w:t>
            </w:r>
          </w:p>
        </w:tc>
        <w:tc>
          <w:tcPr>
            <w:tcW w:w="6408" w:type="dxa"/>
            <w:shd w:val="clear" w:color="auto" w:fill="F3F6F9"/>
            <w:vAlign w:val="center"/>
          </w:tcPr>
          <w:p w14:paraId="44D0C2D7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The project shall retain SQL checks, testing artifacts, and traceability evidence for checks actually performed.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3E3565A4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Core</w:t>
            </w:r>
          </w:p>
        </w:tc>
      </w:tr>
      <w:tr w14:paraId="3893D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center"/>
          </w:tcPr>
          <w:p w14:paraId="5F1ECCBA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BR-11</w:t>
            </w:r>
          </w:p>
        </w:tc>
        <w:tc>
          <w:tcPr>
            <w:tcW w:w="1944" w:type="dxa"/>
            <w:vAlign w:val="center"/>
          </w:tcPr>
          <w:p w14:paraId="2588A06C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User guidance</w:t>
            </w:r>
          </w:p>
        </w:tc>
        <w:tc>
          <w:tcPr>
            <w:tcW w:w="6408" w:type="dxa"/>
            <w:vAlign w:val="center"/>
          </w:tcPr>
          <w:p w14:paraId="44EAB5BA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The project shall provide documentation explaining the purpose and interpretation of the documented dashboard areas.</w:t>
            </w:r>
          </w:p>
        </w:tc>
        <w:tc>
          <w:tcPr>
            <w:tcW w:w="792" w:type="dxa"/>
            <w:vAlign w:val="center"/>
          </w:tcPr>
          <w:p w14:paraId="3F56BE49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Core</w:t>
            </w:r>
          </w:p>
        </w:tc>
      </w:tr>
      <w:tr w14:paraId="0B7DC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shd w:val="clear" w:color="auto" w:fill="F3F6F9"/>
            <w:vAlign w:val="center"/>
          </w:tcPr>
          <w:p w14:paraId="5E69F779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BR-12</w:t>
            </w:r>
          </w:p>
        </w:tc>
        <w:tc>
          <w:tcPr>
            <w:tcW w:w="1944" w:type="dxa"/>
            <w:shd w:val="clear" w:color="auto" w:fill="F3F6F9"/>
            <w:vAlign w:val="center"/>
          </w:tcPr>
          <w:p w14:paraId="66CE6B1B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Handover readiness</w:t>
            </w:r>
          </w:p>
        </w:tc>
        <w:tc>
          <w:tcPr>
            <w:tcW w:w="6408" w:type="dxa"/>
            <w:shd w:val="clear" w:color="auto" w:fill="F3F6F9"/>
            <w:vAlign w:val="center"/>
          </w:tcPr>
          <w:p w14:paraId="32C8A3B8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The repository shall organize implementation and documentation artifacts so another analyst can locate the relevant files and understand known prerequisites.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72FD8B73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6"/>
              </w:rPr>
              <w:t>Core</w:t>
            </w:r>
          </w:p>
        </w:tc>
      </w:tr>
    </w:tbl>
    <w:p w14:paraId="36B11B91">
      <w:pPr>
        <w:spacing w:after="20"/>
      </w:pPr>
    </w:p>
    <w:p w14:paraId="104BB666">
      <w:pPr>
        <w:pStyle w:val="2"/>
      </w:pPr>
      <w:r>
        <w:t>7. Success measures and baseline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2376"/>
        <w:gridCol w:w="5112"/>
      </w:tblGrid>
      <w:tr w14:paraId="688A2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48" w:type="dxa"/>
            <w:shd w:val="clear" w:color="auto" w:fill="17365D"/>
            <w:vAlign w:val="center"/>
          </w:tcPr>
          <w:p w14:paraId="7ED59010"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Measure</w:t>
            </w:r>
          </w:p>
        </w:tc>
        <w:tc>
          <w:tcPr>
            <w:tcW w:w="2376" w:type="dxa"/>
            <w:shd w:val="clear" w:color="auto" w:fill="17365D"/>
            <w:vAlign w:val="center"/>
          </w:tcPr>
          <w:p w14:paraId="6FAD56E7"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Documented reference</w:t>
            </w:r>
          </w:p>
        </w:tc>
        <w:tc>
          <w:tcPr>
            <w:tcW w:w="5112" w:type="dxa"/>
            <w:shd w:val="clear" w:color="auto" w:fill="17365D"/>
            <w:vAlign w:val="center"/>
          </w:tcPr>
          <w:p w14:paraId="430E2A7F"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Interpretation</w:t>
            </w:r>
          </w:p>
        </w:tc>
      </w:tr>
      <w:tr w14:paraId="58DDE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4C7B6376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Business-analysis trips</w:t>
            </w:r>
          </w:p>
        </w:tc>
        <w:tc>
          <w:tcPr>
            <w:tcW w:w="2376" w:type="dxa"/>
            <w:vAlign w:val="center"/>
          </w:tcPr>
          <w:p w14:paraId="7731FEA1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3,329,782</w:t>
            </w:r>
          </w:p>
        </w:tc>
        <w:tc>
          <w:tcPr>
            <w:tcW w:w="5112" w:type="dxa"/>
            <w:vAlign w:val="center"/>
          </w:tcPr>
          <w:p w14:paraId="466925FC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Count in analytics_yellow_taxi_business.</w:t>
            </w:r>
          </w:p>
        </w:tc>
      </w:tr>
      <w:tr w14:paraId="782DD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3F6F9"/>
            <w:vAlign w:val="center"/>
          </w:tcPr>
          <w:p w14:paraId="3DF46B6C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Recorded total amount</w:t>
            </w:r>
          </w:p>
        </w:tc>
        <w:tc>
          <w:tcPr>
            <w:tcW w:w="2376" w:type="dxa"/>
            <w:shd w:val="clear" w:color="auto" w:fill="F3F6F9"/>
            <w:vAlign w:val="center"/>
          </w:tcPr>
          <w:p w14:paraId="00032D0B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$100,340,136.16</w:t>
            </w:r>
          </w:p>
        </w:tc>
        <w:tc>
          <w:tcPr>
            <w:tcW w:w="5112" w:type="dxa"/>
            <w:shd w:val="clear" w:color="auto" w:fill="F3F6F9"/>
            <w:vAlign w:val="center"/>
          </w:tcPr>
          <w:p w14:paraId="6E942967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SUM(total_amount); not automatically accounting revenue or profit.</w:t>
            </w:r>
          </w:p>
        </w:tc>
      </w:tr>
      <w:tr w14:paraId="31A2B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6EFEBD2F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Average recorded amount per trip</w:t>
            </w:r>
          </w:p>
        </w:tc>
        <w:tc>
          <w:tcPr>
            <w:tcW w:w="2376" w:type="dxa"/>
            <w:vAlign w:val="center"/>
          </w:tcPr>
          <w:p w14:paraId="1621E587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$30.13</w:t>
            </w:r>
          </w:p>
        </w:tc>
        <w:tc>
          <w:tcPr>
            <w:tcW w:w="5112" w:type="dxa"/>
            <w:vAlign w:val="center"/>
          </w:tcPr>
          <w:p w14:paraId="286E2AEF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AVG(total_amount) in the documented business population.</w:t>
            </w:r>
          </w:p>
        </w:tc>
      </w:tr>
      <w:tr w14:paraId="23F11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3F6F9"/>
            <w:vAlign w:val="center"/>
          </w:tcPr>
          <w:p w14:paraId="19BC66B0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Aggregate amount per mile</w:t>
            </w:r>
          </w:p>
        </w:tc>
        <w:tc>
          <w:tcPr>
            <w:tcW w:w="2376" w:type="dxa"/>
            <w:shd w:val="clear" w:color="auto" w:fill="F3F6F9"/>
            <w:vAlign w:val="center"/>
          </w:tcPr>
          <w:p w14:paraId="084DCD64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Approximately $4.78</w:t>
            </w:r>
          </w:p>
        </w:tc>
        <w:tc>
          <w:tcPr>
            <w:tcW w:w="5112" w:type="dxa"/>
            <w:shd w:val="clear" w:color="auto" w:fill="F3F6F9"/>
            <w:vAlign w:val="center"/>
          </w:tcPr>
          <w:p w14:paraId="071A4DBA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SUM(total_amount) / SUM(trip_distance); ratio of totals, not average per-trip yield.</w:t>
            </w:r>
          </w:p>
        </w:tc>
      </w:tr>
      <w:tr w14:paraId="39C82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2804C72A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Average trip duration</w:t>
            </w:r>
          </w:p>
        </w:tc>
        <w:tc>
          <w:tcPr>
            <w:tcW w:w="2376" w:type="dxa"/>
            <w:vAlign w:val="center"/>
          </w:tcPr>
          <w:p w14:paraId="5D79E60F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17.64 minutes</w:t>
            </w:r>
          </w:p>
        </w:tc>
        <w:tc>
          <w:tcPr>
            <w:tcW w:w="5112" w:type="dxa"/>
            <w:vAlign w:val="center"/>
          </w:tcPr>
          <w:p w14:paraId="44FF652B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Documented project reference; confirm exact duration expression in the SQL.</w:t>
            </w:r>
          </w:p>
        </w:tc>
      </w:tr>
      <w:tr w14:paraId="54419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3F6F9"/>
            <w:vAlign w:val="center"/>
          </w:tcPr>
          <w:p w14:paraId="12ECC106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Airport pickup-zone amount</w:t>
            </w:r>
          </w:p>
        </w:tc>
        <w:tc>
          <w:tcPr>
            <w:tcW w:w="2376" w:type="dxa"/>
            <w:shd w:val="clear" w:color="auto" w:fill="F3F6F9"/>
            <w:vAlign w:val="center"/>
          </w:tcPr>
          <w:p w14:paraId="5F746085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Approximately $14.33 million</w:t>
            </w:r>
          </w:p>
        </w:tc>
        <w:tc>
          <w:tcPr>
            <w:tcW w:w="5112" w:type="dxa"/>
            <w:shd w:val="clear" w:color="auto" w:fill="F3F6F9"/>
            <w:vAlign w:val="center"/>
          </w:tcPr>
          <w:p w14:paraId="7A951465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JFK and LaGuardia pickup zones only.</w:t>
            </w:r>
          </w:p>
        </w:tc>
      </w:tr>
      <w:tr w14:paraId="1B416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0D7EBBA1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Date coverage</w:t>
            </w:r>
          </w:p>
        </w:tc>
        <w:tc>
          <w:tcPr>
            <w:tcW w:w="2376" w:type="dxa"/>
            <w:vAlign w:val="center"/>
          </w:tcPr>
          <w:p w14:paraId="5AE62E38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27 of 28 February dates</w:t>
            </w:r>
          </w:p>
        </w:tc>
        <w:tc>
          <w:tcPr>
            <w:tcW w:w="5112" w:type="dxa"/>
            <w:vAlign w:val="center"/>
          </w:tcPr>
          <w:p w14:paraId="2197CE0A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February 23 is absent from the business-analysis table; cause unresolved.</w:t>
            </w:r>
          </w:p>
        </w:tc>
      </w:tr>
      <w:tr w14:paraId="0E27C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3F6F9"/>
            <w:vAlign w:val="center"/>
          </w:tcPr>
          <w:p w14:paraId="7887FF33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Source-to-business reduction</w:t>
            </w:r>
          </w:p>
        </w:tc>
        <w:tc>
          <w:tcPr>
            <w:tcW w:w="2376" w:type="dxa"/>
            <w:shd w:val="clear" w:color="auto" w:fill="F3F6F9"/>
            <w:vAlign w:val="center"/>
          </w:tcPr>
          <w:p w14:paraId="3BA4A122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70,068 records (~2.06%)</w:t>
            </w:r>
          </w:p>
        </w:tc>
        <w:tc>
          <w:tcPr>
            <w:tcW w:w="5112" w:type="dxa"/>
            <w:shd w:val="clear" w:color="auto" w:fill="F3F6F9"/>
            <w:vAlign w:val="center"/>
          </w:tcPr>
          <w:p w14:paraId="73CC1E3E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Combined transformation and scope decisions, not a count of proven erroneous records.</w:t>
            </w:r>
          </w:p>
        </w:tc>
      </w:tr>
    </w:tbl>
    <w:p w14:paraId="13B821A2">
      <w:pPr>
        <w:spacing w:after="20"/>
      </w:pPr>
    </w:p>
    <w:p w14:paraId="5CF4D3D2">
      <w:pPr>
        <w:pStyle w:val="2"/>
      </w:pPr>
      <w:r>
        <w:t>8. Data quality and interpretation constraints</w:t>
      </w:r>
    </w:p>
    <w:p w14:paraId="4FEAE217">
      <w:pPr>
        <w:pStyle w:val="23"/>
        <w:spacing w:after="40"/>
      </w:pPr>
      <w:r>
        <w:t>The documented stage counts are: source 3,399,850; cleaned 3,359,607; final 3,355,645; business-analysis 3,329,782.</w:t>
      </w:r>
    </w:p>
    <w:p w14:paraId="4CE83A56">
      <w:pPr>
        <w:pStyle w:val="23"/>
        <w:spacing w:after="40"/>
      </w:pPr>
      <w:r>
        <w:t>Project notes record 40,243 rows associated with timestamp/duration cleaning, 3,962 trips above the project-defined 120-minute threshold, and 25,863 rows associated with the February 23 coverage-day exclusion.</w:t>
      </w:r>
    </w:p>
    <w:p w14:paraId="3D33CFD8">
      <w:pPr>
        <w:pStyle w:val="23"/>
        <w:spacing w:after="40"/>
      </w:pPr>
      <w:r>
        <w:t>Timestamp equality is not by itself proof that every matching record is a duplicate; the implemented SQL predicate remains authoritative.</w:t>
      </w:r>
    </w:p>
    <w:p w14:paraId="3E95A9CC">
      <w:pPr>
        <w:pStyle w:val="23"/>
        <w:spacing w:after="40"/>
      </w:pPr>
      <w:r>
        <w:t>The 120-minute cutoff is a project-specific analytical decision, not a universal rule that all longer trips are invalid.</w:t>
      </w:r>
    </w:p>
    <w:p w14:paraId="62F67F4F">
      <w:pPr>
        <w:pStyle w:val="23"/>
        <w:spacing w:after="40"/>
      </w:pPr>
      <w:r>
        <w:t>Route-directionality differences and the approximately $3.51 million sum of absolute differences are descriptive measures, not proof of recoverable revenue or profit.</w:t>
      </w:r>
    </w:p>
    <w:p w14:paraId="68E6CC7D">
      <w:pPr>
        <w:pStyle w:val="23"/>
        <w:spacing w:after="40"/>
      </w:pPr>
      <w:r>
        <w:t>The 1%, 2%, 3%, and 5% scenarios are illustrative what-if calculations.</w:t>
      </w:r>
    </w:p>
    <w:p w14:paraId="13E6BEB1">
      <w:pPr>
        <w:pStyle w:val="2"/>
      </w:pPr>
      <w:r>
        <w:t>9. Acceptance criteria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4320"/>
        <w:gridCol w:w="4680"/>
      </w:tblGrid>
      <w:tr w14:paraId="2E3E5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6" w:type="dxa"/>
            <w:shd w:val="clear" w:color="auto" w:fill="17365D"/>
            <w:vAlign w:val="center"/>
          </w:tcPr>
          <w:p w14:paraId="41BF5421"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w="4320" w:type="dxa"/>
            <w:shd w:val="clear" w:color="auto" w:fill="17365D"/>
            <w:vAlign w:val="center"/>
          </w:tcPr>
          <w:p w14:paraId="16CF3B29"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Acceptance criterion</w:t>
            </w:r>
          </w:p>
        </w:tc>
        <w:tc>
          <w:tcPr>
            <w:tcW w:w="4680" w:type="dxa"/>
            <w:shd w:val="clear" w:color="auto" w:fill="17365D"/>
            <w:vAlign w:val="center"/>
          </w:tcPr>
          <w:p w14:paraId="78BECA77"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Evidence expected</w:t>
            </w:r>
          </w:p>
        </w:tc>
      </w:tr>
      <w:tr w14:paraId="001CD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vAlign w:val="center"/>
          </w:tcPr>
          <w:p w14:paraId="288F034A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AC-01</w:t>
            </w:r>
          </w:p>
        </w:tc>
        <w:tc>
          <w:tcPr>
            <w:tcW w:w="4320" w:type="dxa"/>
            <w:vAlign w:val="center"/>
          </w:tcPr>
          <w:p w14:paraId="0F48A1A3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Headline KPI definitions are consistent across project artifacts.</w:t>
            </w:r>
          </w:p>
        </w:tc>
        <w:tc>
          <w:tcPr>
            <w:tcW w:w="4680" w:type="dxa"/>
            <w:vAlign w:val="center"/>
          </w:tcPr>
          <w:p w14:paraId="50876460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KPI dictionary, SQL output, and matching dashboard values.</w:t>
            </w:r>
          </w:p>
        </w:tc>
      </w:tr>
      <w:tr w14:paraId="7F7C3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shd w:val="clear" w:color="auto" w:fill="F3F6F9"/>
            <w:vAlign w:val="center"/>
          </w:tcPr>
          <w:p w14:paraId="521D28AC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AC-02</w:t>
            </w:r>
          </w:p>
        </w:tc>
        <w:tc>
          <w:tcPr>
            <w:tcW w:w="4320" w:type="dxa"/>
            <w:shd w:val="clear" w:color="auto" w:fill="F3F6F9"/>
            <w:vAlign w:val="center"/>
          </w:tcPr>
          <w:p w14:paraId="4B66049A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Stage counts reconcile to the documented baseline or differences have an explanation.</w:t>
            </w:r>
          </w:p>
        </w:tc>
        <w:tc>
          <w:tcPr>
            <w:tcW w:w="4680" w:type="dxa"/>
            <w:shd w:val="clear" w:color="auto" w:fill="F3F6F9"/>
            <w:vAlign w:val="center"/>
          </w:tcPr>
          <w:p w14:paraId="03B81BAD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SQL count queries and recorded reconciliation.</w:t>
            </w:r>
          </w:p>
        </w:tc>
      </w:tr>
      <w:tr w14:paraId="06295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vAlign w:val="center"/>
          </w:tcPr>
          <w:p w14:paraId="53921400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AC-03</w:t>
            </w:r>
          </w:p>
        </w:tc>
        <w:tc>
          <w:tcPr>
            <w:tcW w:w="4320" w:type="dxa"/>
            <w:vAlign w:val="center"/>
          </w:tcPr>
          <w:p w14:paraId="65E3816E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The missing February 23 date is disclosed and not assigned an unverified cause.</w:t>
            </w:r>
          </w:p>
        </w:tc>
        <w:tc>
          <w:tcPr>
            <w:tcW w:w="4680" w:type="dxa"/>
            <w:vAlign w:val="center"/>
          </w:tcPr>
          <w:p w14:paraId="4D3A6D57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Date-level counts and report caveat.</w:t>
            </w:r>
          </w:p>
        </w:tc>
      </w:tr>
      <w:tr w14:paraId="7320A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shd w:val="clear" w:color="auto" w:fill="F3F6F9"/>
            <w:vAlign w:val="center"/>
          </w:tcPr>
          <w:p w14:paraId="38093D04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AC-04</w:t>
            </w:r>
          </w:p>
        </w:tc>
        <w:tc>
          <w:tcPr>
            <w:tcW w:w="4320" w:type="dxa"/>
            <w:shd w:val="clear" w:color="auto" w:fill="F3F6F9"/>
            <w:vAlign w:val="center"/>
          </w:tcPr>
          <w:p w14:paraId="1001A4E6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Airport measures state whether they refer to pickup or drop-off zones.</w:t>
            </w:r>
          </w:p>
        </w:tc>
        <w:tc>
          <w:tcPr>
            <w:tcW w:w="4680" w:type="dxa"/>
            <w:shd w:val="clear" w:color="auto" w:fill="F3F6F9"/>
            <w:vAlign w:val="center"/>
          </w:tcPr>
          <w:p w14:paraId="68E3BE7F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KPI labels, query logic, and report labels.</w:t>
            </w:r>
          </w:p>
        </w:tc>
      </w:tr>
      <w:tr w14:paraId="33DF4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vAlign w:val="center"/>
          </w:tcPr>
          <w:p w14:paraId="0AAEA3A1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AC-05</w:t>
            </w:r>
          </w:p>
        </w:tc>
        <w:tc>
          <w:tcPr>
            <w:tcW w:w="4320" w:type="dxa"/>
            <w:vAlign w:val="center"/>
          </w:tcPr>
          <w:p w14:paraId="68B212CF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Scenario outputs are clearly identified as illustrative.</w:t>
            </w:r>
          </w:p>
        </w:tc>
        <w:tc>
          <w:tcPr>
            <w:tcW w:w="4680" w:type="dxa"/>
            <w:vAlign w:val="center"/>
          </w:tcPr>
          <w:p w14:paraId="57AA24A9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Scenario table definitions and dashboard/report labels.</w:t>
            </w:r>
          </w:p>
        </w:tc>
      </w:tr>
      <w:tr w14:paraId="44581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shd w:val="clear" w:color="auto" w:fill="F3F6F9"/>
            <w:vAlign w:val="center"/>
          </w:tcPr>
          <w:p w14:paraId="177488FD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AC-06</w:t>
            </w:r>
          </w:p>
        </w:tc>
        <w:tc>
          <w:tcPr>
            <w:tcW w:w="4320" w:type="dxa"/>
            <w:shd w:val="clear" w:color="auto" w:fill="F3F6F9"/>
            <w:vAlign w:val="center"/>
          </w:tcPr>
          <w:p w14:paraId="3FA8551E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Validation status distinguishes completed tests from planned or unverified checks.</w:t>
            </w:r>
          </w:p>
        </w:tc>
        <w:tc>
          <w:tcPr>
            <w:tcW w:w="4680" w:type="dxa"/>
            <w:shd w:val="clear" w:color="auto" w:fill="F3F6F9"/>
            <w:vAlign w:val="center"/>
          </w:tcPr>
          <w:p w14:paraId="3C6437CB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Testing workbook and traceability matrix with evidence references.</w:t>
            </w:r>
          </w:p>
        </w:tc>
      </w:tr>
      <w:tr w14:paraId="45653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vAlign w:val="center"/>
          </w:tcPr>
          <w:p w14:paraId="5E2071DE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AC-07</w:t>
            </w:r>
          </w:p>
        </w:tc>
        <w:tc>
          <w:tcPr>
            <w:tcW w:w="4320" w:type="dxa"/>
            <w:vAlign w:val="center"/>
          </w:tcPr>
          <w:p w14:paraId="2FA84337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The final repository contains organized artifacts and no secrets or unintended large data files.</w:t>
            </w:r>
          </w:p>
        </w:tc>
        <w:tc>
          <w:tcPr>
            <w:tcW w:w="4680" w:type="dxa"/>
            <w:vAlign w:val="center"/>
          </w:tcPr>
          <w:p w14:paraId="5DF2E624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Repository inventory and pre-publication review.</w:t>
            </w:r>
          </w:p>
        </w:tc>
      </w:tr>
    </w:tbl>
    <w:p w14:paraId="70D7D43D">
      <w:pPr>
        <w:spacing w:after="20"/>
      </w:pPr>
    </w:p>
    <w:p w14:paraId="02B2DA8D">
      <w:pPr>
        <w:pStyle w:val="2"/>
      </w:pPr>
      <w:r>
        <w:t>10. Dependencies, risks, and follow-up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3456"/>
        <w:gridCol w:w="4536"/>
      </w:tblGrid>
      <w:tr w14:paraId="5D223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4" w:type="dxa"/>
            <w:shd w:val="clear" w:color="auto" w:fill="17365D"/>
            <w:vAlign w:val="center"/>
          </w:tcPr>
          <w:p w14:paraId="0AD63A8A"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w="3456" w:type="dxa"/>
            <w:shd w:val="clear" w:color="auto" w:fill="17365D"/>
            <w:vAlign w:val="center"/>
          </w:tcPr>
          <w:p w14:paraId="03933AC1"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Risk / dependency</w:t>
            </w:r>
          </w:p>
        </w:tc>
        <w:tc>
          <w:tcPr>
            <w:tcW w:w="4536" w:type="dxa"/>
            <w:shd w:val="clear" w:color="auto" w:fill="17365D"/>
            <w:vAlign w:val="center"/>
          </w:tcPr>
          <w:p w14:paraId="4F9C68F2"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Required follow-up</w:t>
            </w:r>
          </w:p>
        </w:tc>
      </w:tr>
      <w:tr w14:paraId="59E26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08331C0A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February 23 coverage gap</w:t>
            </w:r>
          </w:p>
        </w:tc>
        <w:tc>
          <w:tcPr>
            <w:tcW w:w="3456" w:type="dxa"/>
            <w:vAlign w:val="center"/>
          </w:tcPr>
          <w:p w14:paraId="6A42F4CD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Daily and full-month comparisons may be distorted.</w:t>
            </w:r>
          </w:p>
        </w:tc>
        <w:tc>
          <w:tcPr>
            <w:tcW w:w="4536" w:type="dxa"/>
            <w:vAlign w:val="center"/>
          </w:tcPr>
          <w:p w14:paraId="0899A420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Trace counts through each pipeline stage; document cause if established, otherwise retain unresolved status.</w:t>
            </w:r>
          </w:p>
        </w:tc>
      </w:tr>
      <w:tr w14:paraId="10CC4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3F6F9"/>
            <w:vAlign w:val="center"/>
          </w:tcPr>
          <w:p w14:paraId="3BF84BCD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Source data availability</w:t>
            </w:r>
          </w:p>
        </w:tc>
        <w:tc>
          <w:tcPr>
            <w:tcW w:w="3456" w:type="dxa"/>
            <w:shd w:val="clear" w:color="auto" w:fill="F3F6F9"/>
            <w:vAlign w:val="center"/>
          </w:tcPr>
          <w:p w14:paraId="5E3DE1FC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A new analyst may not have the original source file or local database.</w:t>
            </w:r>
          </w:p>
        </w:tc>
        <w:tc>
          <w:tcPr>
            <w:tcW w:w="4536" w:type="dxa"/>
            <w:shd w:val="clear" w:color="auto" w:fill="F3F6F9"/>
            <w:vAlign w:val="center"/>
          </w:tcPr>
          <w:p w14:paraId="09A3FDB3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Provide official source reference, import guidance, and expected source schema where available.</w:t>
            </w:r>
          </w:p>
        </w:tc>
      </w:tr>
      <w:tr w14:paraId="39429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2F0E32B3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SQL reproducibility</w:t>
            </w:r>
          </w:p>
        </w:tc>
        <w:tc>
          <w:tcPr>
            <w:tcW w:w="3456" w:type="dxa"/>
            <w:vAlign w:val="center"/>
          </w:tcPr>
          <w:p w14:paraId="6E4DEB10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The runbook is a guided reference and does not reconstruct every original ETL statement.</w:t>
            </w:r>
          </w:p>
        </w:tc>
        <w:tc>
          <w:tcPr>
            <w:tcW w:w="4536" w:type="dxa"/>
            <w:vAlign w:val="center"/>
          </w:tcPr>
          <w:p w14:paraId="3533DB66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Verify all required scripts, prerequisites, execution order, and table dependencies before describing the pipeline as fully reproducible.</w:t>
            </w:r>
          </w:p>
        </w:tc>
      </w:tr>
      <w:tr w14:paraId="6CDA8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3F6F9"/>
            <w:vAlign w:val="center"/>
          </w:tcPr>
          <w:p w14:paraId="3454C035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Power BI environment</w:t>
            </w:r>
          </w:p>
        </w:tc>
        <w:tc>
          <w:tcPr>
            <w:tcW w:w="3456" w:type="dxa"/>
            <w:shd w:val="clear" w:color="auto" w:fill="F3F6F9"/>
            <w:vAlign w:val="center"/>
          </w:tcPr>
          <w:p w14:paraId="2870F2F6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Local paths, credentials, or connection settings may prevent refresh on another machine.</w:t>
            </w:r>
          </w:p>
        </w:tc>
        <w:tc>
          <w:tcPr>
            <w:tcW w:w="4536" w:type="dxa"/>
            <w:shd w:val="clear" w:color="auto" w:fill="F3F6F9"/>
            <w:vAlign w:val="center"/>
          </w:tcPr>
          <w:p w14:paraId="310042D7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Document the actual connection mode and refresh steps only after inspecting the PBIX and environment.</w:t>
            </w:r>
          </w:p>
        </w:tc>
      </w:tr>
      <w:tr w14:paraId="33406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496ACFAF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Test evidence</w:t>
            </w:r>
          </w:p>
        </w:tc>
        <w:tc>
          <w:tcPr>
            <w:tcW w:w="3456" w:type="dxa"/>
            <w:vAlign w:val="center"/>
          </w:tcPr>
          <w:p w14:paraId="35869B7D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Some matrix items may be planned or not independently run.</w:t>
            </w:r>
          </w:p>
        </w:tc>
        <w:tc>
          <w:tcPr>
            <w:tcW w:w="4536" w:type="dxa"/>
            <w:vAlign w:val="center"/>
          </w:tcPr>
          <w:p w14:paraId="2E72BDAD">
            <w:pPr>
              <w:spacing w:after="40"/>
            </w:pPr>
            <w:r>
              <w:rPr>
                <w:rFonts w:ascii="Aptos" w:hAnsi="Aptos"/>
                <w:b w:val="0"/>
                <w:color w:val="243447"/>
                <w:sz w:val="17"/>
              </w:rPr>
              <w:t>Execute outstanding checks and attach evidence before marking them complete.</w:t>
            </w:r>
          </w:p>
        </w:tc>
      </w:tr>
    </w:tbl>
    <w:p w14:paraId="1CB16F1B">
      <w:pPr>
        <w:pStyle w:val="2"/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979" w:right="1123" w:bottom="979" w:left="112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Segoe UI Variable Displa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3AC6F7">
    <w:pPr>
      <w:pStyle w:val="18"/>
      <w:jc w:val="right"/>
    </w:pPr>
    <w:r>
      <w:rPr>
        <w:rFonts w:ascii="Aptos" w:hAnsi="Aptos"/>
        <w:color w:val="5B6573"/>
        <w:sz w:val="16"/>
      </w:rPr>
      <w:t xml:space="preserve">NYC Yellow Taxi Analytics  |  </w:t>
    </w:r>
    <w:r>
      <w:rPr>
        <w:color w:val="5B6573"/>
        <w:sz w:val="16"/>
      </w:rPr>
      <w:fldChar w:fldCharType="begin"/>
    </w:r>
    <w:r>
      <w:rPr>
        <w:color w:val="5B6573"/>
        <w:sz w:val="16"/>
      </w:rPr>
      <w:instrText xml:space="preserve">PAGE</w:instrText>
    </w:r>
    <w:r>
      <w:rPr>
        <w:color w:val="5B6573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67C3C8">
    <w:pPr>
      <w:pStyle w:val="19"/>
    </w:pPr>
    <w:r>
      <w:rPr>
        <w:rFonts w:ascii="Aptos" w:hAnsi="Aptos"/>
        <w:b/>
        <w:color w:val="0F7C86"/>
        <w:sz w:val="16"/>
      </w:rPr>
      <w:t>NYC YELLOW TAXI ANALYTICS  / 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890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59" w:lineRule="auto"/>
    </w:pPr>
    <w:rPr>
      <w:rFonts w:ascii="Aptos" w:hAnsi="Aptos" w:eastAsiaTheme="minorEastAsia" w:cstheme="minorBidi"/>
      <w:color w:val="243447"/>
      <w:sz w:val="19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200" w:after="100"/>
      <w:outlineLvl w:val="0"/>
    </w:pPr>
    <w:rPr>
      <w:rFonts w:asciiTheme="majorHAnsi" w:hAnsiTheme="majorHAnsi" w:eastAsiaTheme="majorEastAsia" w:cstheme="majorBidi"/>
      <w:b/>
      <w:bCs/>
      <w:color w:val="17365D"/>
      <w:sz w:val="34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0F7C86"/>
      <w:sz w:val="24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7365D"/>
      <w:sz w:val="20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10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60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1438</Words>
  <Characters>9722</Characters>
  <Lines>0</Lines>
  <Paragraphs>0</Paragraphs>
  <TotalTime>0</TotalTime>
  <ScaleCrop>false</ScaleCrop>
  <LinksUpToDate>false</LinksUpToDate>
  <CharactersWithSpaces>10968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Abhinav Abhi</cp:lastModifiedBy>
  <dcterms:modified xsi:type="dcterms:W3CDTF">2026-10-27T12:53:40Z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eyJoZGlkIjoiMDljYzUzMWQ4OWI0YzBkYjYzMDRhZTY5ZjZkYmFmYTgiLCJ1c2VySWQiOiI1NjcxMzIxMzUwOTUifQ==</vt:lpwstr>
  </property>
  <property fmtid="{D5CDD505-2E9C-101B-9397-08002B2CF9AE}" pid="3" name="KSOProductBuildVer">
    <vt:lpwstr>1033-12.1.0.29162</vt:lpwstr>
  </property>
  <property fmtid="{D5CDD505-2E9C-101B-9397-08002B2CF9AE}" pid="4" name="ICV">
    <vt:lpwstr>2B7ACE13CC14431CA8903E15F271AF08_12</vt:lpwstr>
  </property>
</Properties>
</file>