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E76BC">
      <w:pPr>
        <w:spacing w:before="400"/>
      </w:pPr>
      <w:r>
        <w:rPr>
          <w:rFonts w:ascii="Aptos Display" w:hAnsi="Aptos Display"/>
          <w:b/>
          <w:color w:val="17365D"/>
          <w:sz w:val="48"/>
        </w:rPr>
        <w:t>STAKEHOLDER &amp; SCOPE</w:t>
      </w:r>
    </w:p>
    <w:p w14:paraId="1E61CAE9">
      <w:r>
        <w:rPr>
          <w:color w:val="087E8B"/>
          <w:sz w:val="24"/>
        </w:rPr>
        <w:t>NYC Yellow Taxi Analytics | February 2026</w:t>
      </w:r>
    </w:p>
    <w:p w14:paraId="1E854EC1">
      <w:r>
        <w:t>Defines the business objective, stakeholder needs, analytical scope, deliverables, and interpretation boundaries for the February 2026 NYC Yellow Taxi analysis.</w:t>
      </w:r>
    </w:p>
    <w:p w14:paraId="49160FB4">
      <w:pPr>
        <w:pStyle w:val="2"/>
      </w:pPr>
      <w:r>
        <w:t>1. Business objective</w:t>
      </w:r>
    </w:p>
    <w:p w14:paraId="0438535D">
      <w:r>
        <w:t>Convert February 2026 NYC Yellow Taxi trip records into a consistent analytical view of trip activity, recorded trip amounts, time-based demand, pickup geography, route directionality, and scenario sensitivities. The analysis supports exploration and operational discussion; it does not independently establish causation, profitability, or recoverable revenue.</w:t>
      </w:r>
    </w:p>
    <w:p w14:paraId="3B445C6D">
      <w:pPr>
        <w:pStyle w:val="2"/>
      </w:pPr>
      <w:r>
        <w:t>2. Stakeholder needs</w:t>
      </w:r>
    </w:p>
    <w:p w14:paraId="4F5B087D">
      <w:r>
        <w:t>The following groups represent intended audiences for the analysis.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370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5C64B901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Stakeholder group</w:t>
            </w:r>
          </w:p>
        </w:tc>
        <w:tc>
          <w:tcPr>
            <w:tcW w:w="3360" w:type="dxa"/>
            <w:shd w:val="clear" w:color="auto" w:fill="17365D"/>
          </w:tcPr>
          <w:p w14:paraId="73B34492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Information need</w:t>
            </w:r>
          </w:p>
        </w:tc>
        <w:tc>
          <w:tcPr>
            <w:tcW w:w="3360" w:type="dxa"/>
            <w:shd w:val="clear" w:color="auto" w:fill="17365D"/>
          </w:tcPr>
          <w:p w14:paraId="04D6249D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Use of the analysis</w:t>
            </w:r>
          </w:p>
        </w:tc>
      </w:tr>
      <w:tr w14:paraId="557E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2A392B6A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 / operations leadership</w:t>
            </w:r>
          </w:p>
        </w:tc>
        <w:tc>
          <w:tcPr>
            <w:tcW w:w="3360" w:type="dxa"/>
            <w:shd w:val="clear" w:color="auto" w:fill="FFFFFF"/>
          </w:tcPr>
          <w:p w14:paraId="5444369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Demand patterns, high-activity periods, pickup areas, airport-related activity</w:t>
            </w:r>
          </w:p>
        </w:tc>
        <w:tc>
          <w:tcPr>
            <w:tcW w:w="3360" w:type="dxa"/>
            <w:shd w:val="clear" w:color="auto" w:fill="FFFFFF"/>
          </w:tcPr>
          <w:p w14:paraId="715EF72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Prioritise operational questions and validate findings against business context</w:t>
            </w:r>
          </w:p>
        </w:tc>
      </w:tr>
      <w:tr w14:paraId="4772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249C46A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 / BI reviewer</w:t>
            </w:r>
          </w:p>
        </w:tc>
        <w:tc>
          <w:tcPr>
            <w:tcW w:w="3360" w:type="dxa"/>
            <w:shd w:val="clear" w:color="auto" w:fill="F1F5F8"/>
          </w:tcPr>
          <w:p w14:paraId="78C55E7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Metric definitions, aggregation logic, reconciliation evidence, data coverage</w:t>
            </w:r>
          </w:p>
        </w:tc>
        <w:tc>
          <w:tcPr>
            <w:tcW w:w="3360" w:type="dxa"/>
            <w:shd w:val="clear" w:color="auto" w:fill="F1F5F8"/>
          </w:tcPr>
          <w:p w14:paraId="6C2232B6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Assess consistency, reliability, and reproducibility</w:t>
            </w:r>
          </w:p>
        </w:tc>
      </w:tr>
      <w:tr w14:paraId="6C91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06E0E85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Data / BI maintainer</w:t>
            </w:r>
          </w:p>
        </w:tc>
        <w:tc>
          <w:tcPr>
            <w:tcW w:w="3360" w:type="dxa"/>
            <w:shd w:val="clear" w:color="auto" w:fill="FFFFFF"/>
          </w:tcPr>
          <w:p w14:paraId="6100AE4D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Transformation stages, analytical tables, joins, filters, date handling</w:t>
            </w:r>
          </w:p>
        </w:tc>
        <w:tc>
          <w:tcPr>
            <w:tcW w:w="3360" w:type="dxa"/>
            <w:shd w:val="clear" w:color="auto" w:fill="FFFFFF"/>
          </w:tcPr>
          <w:p w14:paraId="7D15C27C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Maintain the pipeline and investigate discrepancies</w:t>
            </w:r>
          </w:p>
        </w:tc>
      </w:tr>
      <w:tr w14:paraId="0580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70B4725C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Report users</w:t>
            </w:r>
          </w:p>
        </w:tc>
        <w:tc>
          <w:tcPr>
            <w:tcW w:w="3360" w:type="dxa"/>
            <w:shd w:val="clear" w:color="auto" w:fill="F1F5F8"/>
          </w:tcPr>
          <w:p w14:paraId="318C842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Clear KPI definitions, navigation, filters, and visible limitations</w:t>
            </w:r>
          </w:p>
        </w:tc>
        <w:tc>
          <w:tcPr>
            <w:tcW w:w="3360" w:type="dxa"/>
            <w:shd w:val="clear" w:color="auto" w:fill="F1F5F8"/>
          </w:tcPr>
          <w:p w14:paraId="2A4A2C16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Explore trends without misinterpreting measures</w:t>
            </w:r>
          </w:p>
        </w:tc>
      </w:tr>
      <w:tr w14:paraId="3378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627F257D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Technical reviewer</w:t>
            </w:r>
          </w:p>
        </w:tc>
        <w:tc>
          <w:tcPr>
            <w:tcW w:w="3360" w:type="dxa"/>
            <w:shd w:val="clear" w:color="auto" w:fill="FFFFFF"/>
          </w:tcPr>
          <w:p w14:paraId="76DB8AB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Analytical method, technical choices, evidence trail, business interpretation</w:t>
            </w:r>
          </w:p>
        </w:tc>
        <w:tc>
          <w:tcPr>
            <w:tcW w:w="3360" w:type="dxa"/>
            <w:shd w:val="clear" w:color="auto" w:fill="FFFFFF"/>
          </w:tcPr>
          <w:p w14:paraId="6EC417D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Review analytical quality and completeness</w:t>
            </w:r>
          </w:p>
        </w:tc>
      </w:tr>
    </w:tbl>
    <w:p w14:paraId="60A97975"/>
    <w:p w14:paraId="45CD30F9">
      <w:pPr>
        <w:pStyle w:val="2"/>
      </w:pPr>
      <w:r>
        <w:t>3. Scope of work</w:t>
      </w:r>
    </w:p>
    <w:p w14:paraId="3BAA6CF3">
      <w:pPr>
        <w:pStyle w:val="3"/>
      </w:pPr>
      <w:r>
        <w:t>Included</w:t>
      </w:r>
    </w:p>
    <w:p w14:paraId="6F267F36">
      <w:pPr>
        <w:pStyle w:val="23"/>
      </w:pPr>
      <w:r>
        <w:t>Analysis of February 2026 NYC Yellow Taxi records and the documented MySQL transformation pipeline.</w:t>
      </w:r>
    </w:p>
    <w:p w14:paraId="0C09C651">
      <w:pPr>
        <w:pStyle w:val="23"/>
      </w:pPr>
      <w:r>
        <w:t>Reconciliation of row counts across raw, cleaned, final, and business analytical tables.</w:t>
      </w:r>
    </w:p>
    <w:p w14:paraId="065101B6">
      <w:pPr>
        <w:pStyle w:val="23"/>
      </w:pPr>
      <w:r>
        <w:t>Trip-volume, recorded-amount, trip-duration, time-of-day, pickup-location, route-directionality, and scenario-sensitivity analysis.</w:t>
      </w:r>
    </w:p>
    <w:p w14:paraId="5BABDCFA">
      <w:pPr>
        <w:pStyle w:val="23"/>
      </w:pPr>
      <w:r>
        <w:t>Analytical summary tables and supporting SQL validation queries.</w:t>
      </w:r>
    </w:p>
    <w:p w14:paraId="3DE75DD8">
      <w:pPr>
        <w:pStyle w:val="23"/>
      </w:pPr>
      <w:r>
        <w:t>Power BI reporting across six documented areas: Executive Dashboard, Executive Overview, Demand &amp; Time Intelligence, Location Intelligence, Route &amp; Airport Intelligence, and Business Opportunities.</w:t>
      </w:r>
    </w:p>
    <w:p w14:paraId="1EC000BC">
      <w:pPr>
        <w:pStyle w:val="23"/>
      </w:pPr>
      <w:r>
        <w:t>Documentation of KPI meaning, data-quality observations, report interpretation, and coverage constraints.</w:t>
      </w:r>
    </w:p>
    <w:p w14:paraId="767F519A">
      <w:pPr>
        <w:pStyle w:val="3"/>
      </w:pPr>
      <w:r>
        <w:t>Outside current scope</w:t>
      </w:r>
    </w:p>
    <w:p w14:paraId="371E9B90">
      <w:pPr>
        <w:pStyle w:val="23"/>
      </w:pPr>
      <w:r>
        <w:t>Real-time dispatch, live fleet routing, driver assignment, or automated operational decisions.</w:t>
      </w:r>
    </w:p>
    <w:p w14:paraId="1581D9F5">
      <w:pPr>
        <w:pStyle w:val="23"/>
      </w:pPr>
      <w:r>
        <w:t>Driver take-home pay, platform profit, or net revenue estimates unsupported by available fields.</w:t>
      </w:r>
    </w:p>
    <w:p w14:paraId="46CF3DD4">
      <w:pPr>
        <w:pStyle w:val="23"/>
      </w:pPr>
      <w:r>
        <w:t>Causal attribution for observed patterns without additional evidence.</w:t>
      </w:r>
    </w:p>
    <w:p w14:paraId="145B217E">
      <w:pPr>
        <w:pStyle w:val="23"/>
      </w:pPr>
      <w:r>
        <w:t>Treating scenario percentages as forecasts or guaranteed financial outcomes.</w:t>
      </w:r>
    </w:p>
    <w:p w14:paraId="4AE805C9">
      <w:pPr>
        <w:pStyle w:val="23"/>
      </w:pPr>
      <w:r>
        <w:t>Production hosting, scheduled refresh, gateway configuration, or access-control claims unless implemented and verified.</w:t>
      </w:r>
    </w:p>
    <w:p w14:paraId="16164473">
      <w:pPr>
        <w:pStyle w:val="2"/>
      </w:pPr>
      <w:r>
        <w:t>4. Analytical baseline</w:t>
      </w:r>
    </w:p>
    <w:p w14:paraId="785A4BB0">
      <w:r>
        <w:t>Recorded project baseline; comparisons should use the same data version and metric definitions.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2DF3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4569CB9E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w="3360" w:type="dxa"/>
            <w:shd w:val="clear" w:color="auto" w:fill="17365D"/>
          </w:tcPr>
          <w:p w14:paraId="1E9178D3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Recorded result</w:t>
            </w:r>
          </w:p>
        </w:tc>
        <w:tc>
          <w:tcPr>
            <w:tcW w:w="3360" w:type="dxa"/>
            <w:shd w:val="clear" w:color="auto" w:fill="17365D"/>
          </w:tcPr>
          <w:p w14:paraId="02A66BD9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 w14:paraId="5123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2A37892F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Business-table trip records</w:t>
            </w:r>
          </w:p>
        </w:tc>
        <w:tc>
          <w:tcPr>
            <w:tcW w:w="3360" w:type="dxa"/>
            <w:shd w:val="clear" w:color="auto" w:fill="FFFFFF"/>
          </w:tcPr>
          <w:p w14:paraId="1EF22C8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3,329,782</w:t>
            </w:r>
          </w:p>
        </w:tc>
        <w:tc>
          <w:tcPr>
            <w:tcW w:w="3360" w:type="dxa"/>
            <w:shd w:val="clear" w:color="auto" w:fill="FFFFFF"/>
          </w:tcPr>
          <w:p w14:paraId="7E4CAEDA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Rows in analytics_yellow_taxi_business</w:t>
            </w:r>
          </w:p>
        </w:tc>
      </w:tr>
      <w:tr w14:paraId="0FDC9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5A48ACE8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Recorded total amount</w:t>
            </w:r>
          </w:p>
        </w:tc>
        <w:tc>
          <w:tcPr>
            <w:tcW w:w="3360" w:type="dxa"/>
            <w:shd w:val="clear" w:color="auto" w:fill="F1F5F8"/>
          </w:tcPr>
          <w:p w14:paraId="5B9EE81C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$100,340,136.16</w:t>
            </w:r>
          </w:p>
        </w:tc>
        <w:tc>
          <w:tcPr>
            <w:tcW w:w="3360" w:type="dxa"/>
            <w:shd w:val="clear" w:color="auto" w:fill="F1F5F8"/>
          </w:tcPr>
          <w:p w14:paraId="05BD217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Sum of total_amount; not profit or net operator revenue</w:t>
            </w:r>
          </w:p>
        </w:tc>
      </w:tr>
      <w:tr w14:paraId="0BE0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5D7218F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Average recorded total amount</w:t>
            </w:r>
          </w:p>
        </w:tc>
        <w:tc>
          <w:tcPr>
            <w:tcW w:w="3360" w:type="dxa"/>
            <w:shd w:val="clear" w:color="auto" w:fill="FFFFFF"/>
          </w:tcPr>
          <w:p w14:paraId="0597A8B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$30.13</w:t>
            </w:r>
          </w:p>
        </w:tc>
        <w:tc>
          <w:tcPr>
            <w:tcW w:w="3360" w:type="dxa"/>
            <w:shd w:val="clear" w:color="auto" w:fill="FFFFFF"/>
          </w:tcPr>
          <w:p w14:paraId="5CD684C8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Documented average of total_amount</w:t>
            </w:r>
          </w:p>
        </w:tc>
      </w:tr>
      <w:tr w14:paraId="3D2A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5CA2834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Aggregate amount per mile</w:t>
            </w:r>
          </w:p>
        </w:tc>
        <w:tc>
          <w:tcPr>
            <w:tcW w:w="3360" w:type="dxa"/>
            <w:shd w:val="clear" w:color="auto" w:fill="F1F5F8"/>
          </w:tcPr>
          <w:p w14:paraId="5D4A9ACB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~$4.78</w:t>
            </w:r>
          </w:p>
        </w:tc>
        <w:tc>
          <w:tcPr>
            <w:tcW w:w="3360" w:type="dxa"/>
            <w:shd w:val="clear" w:color="auto" w:fill="F1F5F8"/>
          </w:tcPr>
          <w:p w14:paraId="4AD1A28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Sum of amounts divided by summed distance; not average per-trip ratio</w:t>
            </w:r>
          </w:p>
        </w:tc>
      </w:tr>
      <w:tr w14:paraId="42C5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090EA9EF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Average trip duration</w:t>
            </w:r>
          </w:p>
        </w:tc>
        <w:tc>
          <w:tcPr>
            <w:tcW w:w="3360" w:type="dxa"/>
            <w:shd w:val="clear" w:color="auto" w:fill="FFFFFF"/>
          </w:tcPr>
          <w:p w14:paraId="10E0B79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17.64 minutes</w:t>
            </w:r>
          </w:p>
        </w:tc>
        <w:tc>
          <w:tcPr>
            <w:tcW w:w="3360" w:type="dxa"/>
            <w:shd w:val="clear" w:color="auto" w:fill="FFFFFF"/>
          </w:tcPr>
          <w:p w14:paraId="0A4A231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Documented average duration</w:t>
            </w:r>
          </w:p>
        </w:tc>
      </w:tr>
      <w:tr w14:paraId="0648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3BF1989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JFK + LaGuardia pickup-zone amount</w:t>
            </w:r>
          </w:p>
        </w:tc>
        <w:tc>
          <w:tcPr>
            <w:tcW w:w="3360" w:type="dxa"/>
            <w:shd w:val="clear" w:color="auto" w:fill="F1F5F8"/>
          </w:tcPr>
          <w:p w14:paraId="1DF8D75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~$14.33 million</w:t>
            </w:r>
          </w:p>
        </w:tc>
        <w:tc>
          <w:tcPr>
            <w:tcW w:w="3360" w:type="dxa"/>
            <w:shd w:val="clear" w:color="auto" w:fill="F1F5F8"/>
          </w:tcPr>
          <w:p w14:paraId="6455B76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Pickup-zone analysis, not airport drop-off revenue</w:t>
            </w:r>
          </w:p>
        </w:tc>
      </w:tr>
      <w:tr w14:paraId="3F8D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7CDFBA1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Rows where imbalance_pct &gt;= 50</w:t>
            </w:r>
          </w:p>
        </w:tc>
        <w:tc>
          <w:tcPr>
            <w:tcW w:w="3360" w:type="dxa"/>
            <w:shd w:val="clear" w:color="auto" w:fill="FFFFFF"/>
          </w:tcPr>
          <w:p w14:paraId="071131C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w="3360" w:type="dxa"/>
            <w:shd w:val="clear" w:color="auto" w:fill="FFFFFF"/>
          </w:tcPr>
          <w:p w14:paraId="444A003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Threshold-based route-analysis result</w:t>
            </w:r>
          </w:p>
        </w:tc>
      </w:tr>
      <w:tr w14:paraId="6532A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2D55075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Sum of absolute revenue differences</w:t>
            </w:r>
          </w:p>
        </w:tc>
        <w:tc>
          <w:tcPr>
            <w:tcW w:w="3360" w:type="dxa"/>
            <w:shd w:val="clear" w:color="auto" w:fill="F1F5F8"/>
          </w:tcPr>
          <w:p w14:paraId="589179A9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~$3.51 million</w:t>
            </w:r>
          </w:p>
        </w:tc>
        <w:tc>
          <w:tcPr>
            <w:tcW w:w="3360" w:type="dxa"/>
            <w:shd w:val="clear" w:color="auto" w:fill="F1F5F8"/>
          </w:tcPr>
          <w:p w14:paraId="6DC42F0D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Gross absolute difference; not recoverable revenue or profit</w:t>
            </w:r>
          </w:p>
        </w:tc>
      </w:tr>
    </w:tbl>
    <w:p w14:paraId="67057045"/>
    <w:p w14:paraId="7B5FDE76">
      <w:pPr>
        <w:pStyle w:val="2"/>
      </w:pPr>
      <w:r>
        <w:t>5. Data coverage and quality finding</w:t>
      </w:r>
    </w:p>
    <w:p w14:paraId="32CFA29C">
      <w:r>
        <w:t>The business analytical table contains records for 27 of the 28 dates in February 2026. A query for 23 February returned zero rows in analytics_yellow_taxi_business. The documented raw-stage count for that date is 26,019. The cause of the missing business-table date has not been established.</w:t>
      </w:r>
    </w:p>
    <w:p w14:paraId="3EE241A8">
      <w:r>
        <w:t>This is a material coverage limitation. Daily comparisons should disclose the missing date until the pipeline is traced end-to-end and the cause confirmed. Stage-to-stage row reductions should not automatically be classified as erroneous records; interpretation depends on transformation rules.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F3B2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553D0CA8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Pipeline stage</w:t>
            </w:r>
          </w:p>
        </w:tc>
        <w:tc>
          <w:tcPr>
            <w:tcW w:w="3360" w:type="dxa"/>
            <w:shd w:val="clear" w:color="auto" w:fill="17365D"/>
          </w:tcPr>
          <w:p w14:paraId="7482BD40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Rows</w:t>
            </w:r>
          </w:p>
        </w:tc>
        <w:tc>
          <w:tcPr>
            <w:tcW w:w="3360" w:type="dxa"/>
            <w:shd w:val="clear" w:color="auto" w:fill="17365D"/>
          </w:tcPr>
          <w:p w14:paraId="20072CD1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Change from preceding stage</w:t>
            </w:r>
          </w:p>
        </w:tc>
      </w:tr>
      <w:tr w14:paraId="349FB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2ADD8B8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analytics_yellow_taxi</w:t>
            </w:r>
          </w:p>
        </w:tc>
        <w:tc>
          <w:tcPr>
            <w:tcW w:w="3360" w:type="dxa"/>
            <w:shd w:val="clear" w:color="auto" w:fill="FFFFFF"/>
          </w:tcPr>
          <w:p w14:paraId="335EE55C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3,399,850</w:t>
            </w:r>
          </w:p>
        </w:tc>
        <w:tc>
          <w:tcPr>
            <w:tcW w:w="3360" w:type="dxa"/>
            <w:shd w:val="clear" w:color="auto" w:fill="FFFFFF"/>
          </w:tcPr>
          <w:p w14:paraId="39FCC81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Baseline</w:t>
            </w:r>
          </w:p>
        </w:tc>
      </w:tr>
      <w:tr w14:paraId="59BC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4F03A51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analytics_yellow_taxi_cleaned</w:t>
            </w:r>
          </w:p>
        </w:tc>
        <w:tc>
          <w:tcPr>
            <w:tcW w:w="3360" w:type="dxa"/>
            <w:shd w:val="clear" w:color="auto" w:fill="F1F5F8"/>
          </w:tcPr>
          <w:p w14:paraId="11AAC28A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3,359,607</w:t>
            </w:r>
          </w:p>
        </w:tc>
        <w:tc>
          <w:tcPr>
            <w:tcW w:w="3360" w:type="dxa"/>
            <w:shd w:val="clear" w:color="auto" w:fill="F1F5F8"/>
          </w:tcPr>
          <w:p w14:paraId="29804EDB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−40,243</w:t>
            </w:r>
          </w:p>
        </w:tc>
      </w:tr>
      <w:tr w14:paraId="7ED6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27B6284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analytics_yellow_taxi_final</w:t>
            </w:r>
          </w:p>
        </w:tc>
        <w:tc>
          <w:tcPr>
            <w:tcW w:w="3360" w:type="dxa"/>
            <w:shd w:val="clear" w:color="auto" w:fill="FFFFFF"/>
          </w:tcPr>
          <w:p w14:paraId="06D7E74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3,355,645</w:t>
            </w:r>
          </w:p>
        </w:tc>
        <w:tc>
          <w:tcPr>
            <w:tcW w:w="3360" w:type="dxa"/>
            <w:shd w:val="clear" w:color="auto" w:fill="FFFFFF"/>
          </w:tcPr>
          <w:p w14:paraId="72C69B4A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−3,962</w:t>
            </w:r>
          </w:p>
        </w:tc>
      </w:tr>
      <w:tr w14:paraId="672C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43C3A4D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analytics_yellow_taxi_business</w:t>
            </w:r>
          </w:p>
        </w:tc>
        <w:tc>
          <w:tcPr>
            <w:tcW w:w="3360" w:type="dxa"/>
            <w:shd w:val="clear" w:color="auto" w:fill="F1F5F8"/>
          </w:tcPr>
          <w:p w14:paraId="54C47F3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3,329,782</w:t>
            </w:r>
          </w:p>
        </w:tc>
        <w:tc>
          <w:tcPr>
            <w:tcW w:w="3360" w:type="dxa"/>
            <w:shd w:val="clear" w:color="auto" w:fill="F1F5F8"/>
          </w:tcPr>
          <w:p w14:paraId="231AE828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−25,863</w:t>
            </w:r>
          </w:p>
        </w:tc>
      </w:tr>
      <w:tr w14:paraId="3CF6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16A03A3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Raw-to-business difference</w:t>
            </w:r>
          </w:p>
        </w:tc>
        <w:tc>
          <w:tcPr>
            <w:tcW w:w="3360" w:type="dxa"/>
            <w:shd w:val="clear" w:color="auto" w:fill="FFFFFF"/>
          </w:tcPr>
          <w:p w14:paraId="0DADBA79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70,068</w:t>
            </w:r>
          </w:p>
        </w:tc>
        <w:tc>
          <w:tcPr>
            <w:tcW w:w="3360" w:type="dxa"/>
            <w:shd w:val="clear" w:color="auto" w:fill="FFFFFF"/>
          </w:tcPr>
          <w:p w14:paraId="1CB8C5AC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~2.06% of raw-stage rows</w:t>
            </w:r>
          </w:p>
        </w:tc>
      </w:tr>
    </w:tbl>
    <w:p w14:paraId="72C44E92"/>
    <w:p w14:paraId="16A940E4">
      <w:pPr>
        <w:pStyle w:val="2"/>
      </w:pPr>
      <w:r>
        <w:t>6. Reporting deliverables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358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0264517D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w="5040" w:type="dxa"/>
            <w:shd w:val="clear" w:color="auto" w:fill="17365D"/>
          </w:tcPr>
          <w:p w14:paraId="42E639AA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Expected content</w:t>
            </w:r>
          </w:p>
        </w:tc>
      </w:tr>
      <w:tr w14:paraId="6613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</w:tcPr>
          <w:p w14:paraId="093CC25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 requirements</w:t>
            </w:r>
          </w:p>
        </w:tc>
        <w:tc>
          <w:tcPr>
            <w:tcW w:w="5040" w:type="dxa"/>
            <w:shd w:val="clear" w:color="auto" w:fill="FFFFFF"/>
          </w:tcPr>
          <w:p w14:paraId="4D55216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 objective, decision context, scope, intended users</w:t>
            </w:r>
          </w:p>
        </w:tc>
      </w:tr>
      <w:tr w14:paraId="20D2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1F5F8"/>
          </w:tcPr>
          <w:p w14:paraId="619AB57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Functional requirements</w:t>
            </w:r>
          </w:p>
        </w:tc>
        <w:tc>
          <w:tcPr>
            <w:tcW w:w="5040" w:type="dxa"/>
            <w:shd w:val="clear" w:color="auto" w:fill="F1F5F8"/>
          </w:tcPr>
          <w:p w14:paraId="255FB2A2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Reporting functions, analytical questions, user interactions</w:t>
            </w:r>
          </w:p>
        </w:tc>
      </w:tr>
      <w:tr w14:paraId="4D5BD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</w:tcPr>
          <w:p w14:paraId="34D4EA3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Data dictionary and KPI definitions</w:t>
            </w:r>
          </w:p>
        </w:tc>
        <w:tc>
          <w:tcPr>
            <w:tcW w:w="5040" w:type="dxa"/>
            <w:shd w:val="clear" w:color="auto" w:fill="FFFFFF"/>
          </w:tcPr>
          <w:p w14:paraId="45F61921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Field descriptions, formulas, units, aggregation level, interpretation</w:t>
            </w:r>
          </w:p>
        </w:tc>
      </w:tr>
      <w:tr w14:paraId="42D2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1F5F8"/>
          </w:tcPr>
          <w:p w14:paraId="495483D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SQL transformation documentation</w:t>
            </w:r>
          </w:p>
        </w:tc>
        <w:tc>
          <w:tcPr>
            <w:tcW w:w="5040" w:type="dxa"/>
            <w:shd w:val="clear" w:color="auto" w:fill="F1F5F8"/>
          </w:tcPr>
          <w:p w14:paraId="074C5FB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Processing stages, derived outputs, dependencies, transformation logic</w:t>
            </w:r>
          </w:p>
        </w:tc>
      </w:tr>
      <w:tr w14:paraId="3582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</w:tcPr>
          <w:p w14:paraId="36A9026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Data-quality and reconciliation evidence</w:t>
            </w:r>
          </w:p>
        </w:tc>
        <w:tc>
          <w:tcPr>
            <w:tcW w:w="5040" w:type="dxa"/>
            <w:shd w:val="clear" w:color="auto" w:fill="FFFFFF"/>
          </w:tcPr>
          <w:p w14:paraId="24C750E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Stage counts, validation queries, exceptions, coverage issues</w:t>
            </w:r>
          </w:p>
        </w:tc>
      </w:tr>
      <w:tr w14:paraId="4036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1F5F8"/>
          </w:tcPr>
          <w:p w14:paraId="2837BE4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Power BI report</w:t>
            </w:r>
          </w:p>
        </w:tc>
        <w:tc>
          <w:tcPr>
            <w:tcW w:w="5040" w:type="dxa"/>
            <w:shd w:val="clear" w:color="auto" w:fill="F1F5F8"/>
          </w:tcPr>
          <w:p w14:paraId="6149906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Six documented report areas aligned to analytical model and KPI definitions</w:t>
            </w:r>
          </w:p>
        </w:tc>
      </w:tr>
      <w:tr w14:paraId="0FDD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</w:tcPr>
          <w:p w14:paraId="63A3A24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Business insights and executive summary</w:t>
            </w:r>
          </w:p>
        </w:tc>
        <w:tc>
          <w:tcPr>
            <w:tcW w:w="5040" w:type="dxa"/>
            <w:shd w:val="clear" w:color="auto" w:fill="FFFFFF"/>
          </w:tcPr>
          <w:p w14:paraId="64531C43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Evidence-led findings, implications, follow-up questions, limitations</w:t>
            </w:r>
          </w:p>
        </w:tc>
      </w:tr>
      <w:tr w14:paraId="1B1B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1F5F8"/>
          </w:tcPr>
          <w:p w14:paraId="5F3ACB36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Technical handover</w:t>
            </w:r>
          </w:p>
        </w:tc>
        <w:tc>
          <w:tcPr>
            <w:tcW w:w="5040" w:type="dxa"/>
            <w:shd w:val="clear" w:color="auto" w:fill="F1F5F8"/>
          </w:tcPr>
          <w:p w14:paraId="4A240639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SQL assets, data model documentation, report artifact, operating details where applicable</w:t>
            </w:r>
          </w:p>
        </w:tc>
      </w:tr>
    </w:tbl>
    <w:p w14:paraId="26591DB9"/>
    <w:p w14:paraId="00355E21">
      <w:pPr>
        <w:pStyle w:val="2"/>
      </w:pPr>
      <w:r>
        <w:t>7. Acceptance criteria</w:t>
      </w:r>
    </w:p>
    <w:p w14:paraId="40A183CA">
      <w:pPr>
        <w:pStyle w:val="23"/>
      </w:pPr>
      <w:r>
        <w:t>Headline Power BI KPIs use consistent definitions and reconcile to the SQL outputs used to build the report.</w:t>
      </w:r>
    </w:p>
    <w:p w14:paraId="57E33D38">
      <w:pPr>
        <w:pStyle w:val="23"/>
      </w:pPr>
      <w:r>
        <w:t>Pipeline row counts match the recorded baseline or have a traceable explanation for changes.</w:t>
      </w:r>
    </w:p>
    <w:p w14:paraId="522A1D94">
      <w:pPr>
        <w:pStyle w:val="23"/>
      </w:pPr>
      <w:r>
        <w:t>The 23 February coverage gap is disclosed and is not assigned a cause without evidence.</w:t>
      </w:r>
    </w:p>
    <w:p w14:paraId="13EDD169">
      <w:pPr>
        <w:pStyle w:val="23"/>
      </w:pPr>
      <w:r>
        <w:t>Airport measures are labelled according to pickup-zone or drop-off-zone logic.</w:t>
      </w:r>
    </w:p>
    <w:p w14:paraId="4C40F7A1">
      <w:pPr>
        <w:pStyle w:val="23"/>
      </w:pPr>
      <w:r>
        <w:t>Scenario analysis is identified as sensitivity analysis, not a forecast.</w:t>
      </w:r>
    </w:p>
    <w:p w14:paraId="6A3B6CA1">
      <w:pPr>
        <w:pStyle w:val="23"/>
      </w:pPr>
      <w:r>
        <w:t>Report screenshots represent the implemented report, not illustrative mockups.</w:t>
      </w:r>
    </w:p>
    <w:p w14:paraId="3B674AED">
      <w:pPr>
        <w:pStyle w:val="23"/>
      </w:pPr>
      <w:r>
        <w:t>Deployment and refresh documentation reflects the configuration actually in use.</w:t>
      </w:r>
    </w:p>
    <w:p w14:paraId="099B9661">
      <w:pPr>
        <w:pStyle w:val="2"/>
      </w:pPr>
      <w:r>
        <w:t>8. Dependencies and follow-up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E4C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3B362772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w="3360" w:type="dxa"/>
            <w:shd w:val="clear" w:color="auto" w:fill="17365D"/>
          </w:tcPr>
          <w:p w14:paraId="437C87E9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Current position</w:t>
            </w:r>
          </w:p>
        </w:tc>
        <w:tc>
          <w:tcPr>
            <w:tcW w:w="3360" w:type="dxa"/>
            <w:shd w:val="clear" w:color="auto" w:fill="17365D"/>
          </w:tcPr>
          <w:p w14:paraId="5820F116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Follow-up</w:t>
            </w:r>
          </w:p>
        </w:tc>
      </w:tr>
      <w:tr w14:paraId="1F1B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124C251F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Power BI report</w:t>
            </w:r>
          </w:p>
        </w:tc>
        <w:tc>
          <w:tcPr>
            <w:tcW w:w="3360" w:type="dxa"/>
            <w:shd w:val="clear" w:color="auto" w:fill="FFFFFF"/>
          </w:tcPr>
          <w:p w14:paraId="072F39E8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Dashboard validation was confirmed during project work</w:t>
            </w:r>
          </w:p>
        </w:tc>
        <w:tc>
          <w:tcPr>
            <w:tcW w:w="3360" w:type="dxa"/>
            <w:shd w:val="clear" w:color="auto" w:fill="FFFFFF"/>
          </w:tcPr>
          <w:p w14:paraId="5BF8A8B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Retain validated PBIX and report evidence; recheck if model or source logic changes</w:t>
            </w:r>
          </w:p>
        </w:tc>
      </w:tr>
      <w:tr w14:paraId="35CF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016084D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23 February coverage</w:t>
            </w:r>
          </w:p>
        </w:tc>
        <w:tc>
          <w:tcPr>
            <w:tcW w:w="3360" w:type="dxa"/>
            <w:shd w:val="clear" w:color="auto" w:fill="F1F5F8"/>
          </w:tcPr>
          <w:p w14:paraId="2C029050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Zero business-table rows; cause unresolved</w:t>
            </w:r>
          </w:p>
        </w:tc>
        <w:tc>
          <w:tcPr>
            <w:tcW w:w="3360" w:type="dxa"/>
            <w:shd w:val="clear" w:color="auto" w:fill="F1F5F8"/>
          </w:tcPr>
          <w:p w14:paraId="01AF31D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Trace all stages; inspect date handling, filters, joins, and load history</w:t>
            </w:r>
          </w:p>
        </w:tc>
      </w:tr>
      <w:tr w14:paraId="71A3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737D71C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SQL transformation logic</w:t>
            </w:r>
          </w:p>
        </w:tc>
        <w:tc>
          <w:tcPr>
            <w:tcW w:w="3360" w:type="dxa"/>
            <w:shd w:val="clear" w:color="auto" w:fill="FFFFFF"/>
          </w:tcPr>
          <w:p w14:paraId="323D52A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Stage counts and supporting documentation recorded</w:t>
            </w:r>
          </w:p>
        </w:tc>
        <w:tc>
          <w:tcPr>
            <w:tcW w:w="3360" w:type="dxa"/>
            <w:shd w:val="clear" w:color="auto" w:fill="FFFFFF"/>
          </w:tcPr>
          <w:p w14:paraId="3B399317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Keep documentation aligned with SQL actually executed</w:t>
            </w:r>
          </w:p>
        </w:tc>
      </w:tr>
      <w:tr w14:paraId="65F6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1F5F8"/>
          </w:tcPr>
          <w:p w14:paraId="36D3C30B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Refresh and deployment</w:t>
            </w:r>
          </w:p>
        </w:tc>
        <w:tc>
          <w:tcPr>
            <w:tcW w:w="3360" w:type="dxa"/>
            <w:shd w:val="clear" w:color="auto" w:fill="F1F5F8"/>
          </w:tcPr>
          <w:p w14:paraId="3E5F28E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Configuration details not established here</w:t>
            </w:r>
          </w:p>
        </w:tc>
        <w:tc>
          <w:tcPr>
            <w:tcW w:w="3360" w:type="dxa"/>
            <w:shd w:val="clear" w:color="auto" w:fill="F1F5F8"/>
          </w:tcPr>
          <w:p w14:paraId="7825B43B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Document actual connection and refresh approach where relevant</w:t>
            </w:r>
          </w:p>
        </w:tc>
      </w:tr>
      <w:tr w14:paraId="4A963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</w:tcPr>
          <w:p w14:paraId="3510551E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Scenario analysis</w:t>
            </w:r>
          </w:p>
        </w:tc>
        <w:tc>
          <w:tcPr>
            <w:tcW w:w="3360" w:type="dxa"/>
            <w:shd w:val="clear" w:color="auto" w:fill="FFFFFF"/>
          </w:tcPr>
          <w:p w14:paraId="4C224084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Illustrative sensitivity cases</w:t>
            </w:r>
          </w:p>
        </w:tc>
        <w:tc>
          <w:tcPr>
            <w:tcW w:w="3360" w:type="dxa"/>
            <w:shd w:val="clear" w:color="auto" w:fill="FFFFFF"/>
          </w:tcPr>
          <w:p w14:paraId="6A8A8E05"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Keep assumptions separate from observed results</w:t>
            </w:r>
          </w:p>
        </w:tc>
      </w:tr>
    </w:tbl>
    <w:p w14:paraId="12C34E64">
      <w:pPr>
        <w:pStyle w:val="2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E3F0">
    <w:pPr>
      <w:pStyle w:val="18"/>
      <w:jc w:val="right"/>
    </w:pPr>
    <w:r>
      <w:rPr>
        <w:color w:val="657386"/>
        <w:sz w:val="16"/>
      </w:rPr>
      <w:t>Stakeholder &amp; Scope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D3284">
    <w:pPr>
      <w:pStyle w:val="19"/>
    </w:pPr>
    <w:r>
      <w:rPr>
        <w:b/>
        <w:color w:val="657386"/>
        <w:sz w:val="16"/>
      </w:rPr>
      <w:t>NYC YELLOW TAXI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68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63445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87E8B"/>
      <w:sz w:val="2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880</Words>
  <Characters>6165</Characters>
  <Lines>0</Lines>
  <Paragraphs>0</Paragraphs>
  <TotalTime>0</TotalTime>
  <ScaleCrop>false</ScaleCrop>
  <LinksUpToDate>false</LinksUpToDate>
  <CharactersWithSpaces>6908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Abhinav Abhi</cp:lastModifiedBy>
  <dcterms:modified xsi:type="dcterms:W3CDTF">2026-10-27T12:54:51Z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eyJoZGlkIjoiMDljYzUzMWQ4OWI0YzBkYjYzMDRhZTY5ZjZkYmFmYTgiLCJ1c2VySWQiOiI1NjcxMzIxMzUwOTUifQ==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CA7C45B60A4A4AFD8CC3BE3D6967DA94_12</vt:lpwstr>
  </property>
</Properties>
</file>