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DC310">
      <w:pPr>
        <w:spacing w:before="1040"/>
      </w:pPr>
      <w:r>
        <w:rPr>
          <w:b/>
          <w:color w:val="0F7C86"/>
          <w:sz w:val="30"/>
        </w:rPr>
        <w:t>NYC YELLOW TAXI</w:t>
      </w:r>
    </w:p>
    <w:p w14:paraId="1B35FE60">
      <w:pPr>
        <w:pStyle w:val="36"/>
      </w:pPr>
      <w:r>
        <w:t>Functional Requirements</w:t>
      </w:r>
      <w:r>
        <w:br w:type="textWrapping"/>
      </w:r>
      <w:r>
        <w:t>Document</w:t>
      </w:r>
    </w:p>
    <w:p w14:paraId="020F2A36">
      <w:r>
        <w:rPr>
          <w:color w:val="5B6573"/>
          <w:sz w:val="26"/>
        </w:rPr>
        <w:t>Data workflow • analytical outputs • reporting behavior •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7"/>
        <w:gridCol w:w="4997"/>
      </w:tblGrid>
      <w:tr w14:paraId="1965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97" w:type="dxa"/>
            <w:shd w:val="clear" w:color="auto" w:fill="17365D"/>
            <w:vAlign w:val="center"/>
          </w:tcPr>
          <w:p w14:paraId="1ED8383B">
            <w:pPr>
              <w:spacing w:after="40"/>
            </w:pPr>
            <w:r>
              <w:rPr>
                <w:rFonts w:ascii="Aptos" w:hAnsi="Aptos"/>
                <w:b/>
                <w:color w:val="FFFFFF"/>
                <w:sz w:val="16"/>
              </w:rPr>
              <w:t>Document metadata</w:t>
            </w:r>
          </w:p>
        </w:tc>
        <w:tc>
          <w:tcPr>
            <w:tcW w:w="4997" w:type="dxa"/>
            <w:shd w:val="clear" w:color="auto" w:fill="17365D"/>
            <w:vAlign w:val="center"/>
          </w:tcPr>
          <w:p w14:paraId="776E85D1">
            <w:pPr>
              <w:spacing w:after="40"/>
            </w:pPr>
            <w:r>
              <w:rPr>
                <w:rFonts w:ascii="Aptos" w:hAnsi="Aptos"/>
                <w:b/>
                <w:color w:val="FFFFFF"/>
                <w:sz w:val="16"/>
              </w:rPr>
              <w:t>Value</w:t>
            </w:r>
          </w:p>
        </w:tc>
      </w:tr>
      <w:tr w14:paraId="6018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05E73413">
            <w:pPr>
              <w:spacing w:after="40"/>
            </w:pPr>
            <w:r>
              <w:rPr>
                <w:rFonts w:ascii="Aptos" w:hAnsi="Aptos"/>
                <w:b w:val="0"/>
                <w:color w:val="243447"/>
                <w:sz w:val="16"/>
              </w:rPr>
              <w:t>Project</w:t>
            </w:r>
          </w:p>
        </w:tc>
        <w:tc>
          <w:tcPr>
            <w:tcW w:w="4997" w:type="dxa"/>
            <w:vAlign w:val="center"/>
          </w:tcPr>
          <w:p w14:paraId="3EFA5960">
            <w:pPr>
              <w:spacing w:after="40"/>
            </w:pPr>
            <w:r>
              <w:rPr>
                <w:rFonts w:ascii="Aptos" w:hAnsi="Aptos"/>
                <w:b w:val="0"/>
                <w:color w:val="243447"/>
                <w:sz w:val="16"/>
              </w:rPr>
              <w:t>NYC Yellow Taxi Analytics</w:t>
            </w:r>
          </w:p>
        </w:tc>
      </w:tr>
      <w:tr w14:paraId="1A46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shd w:val="clear" w:color="auto" w:fill="F3F6F9"/>
            <w:vAlign w:val="center"/>
          </w:tcPr>
          <w:p w14:paraId="3E7FBE5D">
            <w:pPr>
              <w:spacing w:after="40"/>
            </w:pPr>
            <w:r>
              <w:rPr>
                <w:rFonts w:ascii="Aptos" w:hAnsi="Aptos"/>
                <w:b w:val="0"/>
                <w:color w:val="243447"/>
                <w:sz w:val="16"/>
              </w:rPr>
              <w:t>Reporting period</w:t>
            </w:r>
          </w:p>
        </w:tc>
        <w:tc>
          <w:tcPr>
            <w:tcW w:w="4997" w:type="dxa"/>
            <w:shd w:val="clear" w:color="auto" w:fill="F3F6F9"/>
            <w:vAlign w:val="center"/>
          </w:tcPr>
          <w:p w14:paraId="7BE7CE7A">
            <w:pPr>
              <w:spacing w:after="40"/>
            </w:pPr>
            <w:r>
              <w:rPr>
                <w:rFonts w:ascii="Aptos" w:hAnsi="Aptos"/>
                <w:b w:val="0"/>
                <w:color w:val="243447"/>
                <w:sz w:val="16"/>
              </w:rPr>
              <w:t>February 1–28, 2026; business analysis represents 27 dates</w:t>
            </w:r>
          </w:p>
        </w:tc>
      </w:tr>
      <w:tr w14:paraId="7443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31EE5DBE">
            <w:pPr>
              <w:spacing w:after="40"/>
            </w:pPr>
            <w:r>
              <w:rPr>
                <w:rFonts w:ascii="Aptos" w:hAnsi="Aptos"/>
                <w:b w:val="0"/>
                <w:color w:val="243447"/>
                <w:sz w:val="16"/>
              </w:rPr>
              <w:t>Technology context</w:t>
            </w:r>
          </w:p>
        </w:tc>
        <w:tc>
          <w:tcPr>
            <w:tcW w:w="4997" w:type="dxa"/>
            <w:vAlign w:val="center"/>
          </w:tcPr>
          <w:p w14:paraId="26A685D6">
            <w:pPr>
              <w:spacing w:after="40"/>
            </w:pPr>
            <w:r>
              <w:rPr>
                <w:rFonts w:ascii="Aptos" w:hAnsi="Aptos"/>
                <w:b w:val="0"/>
                <w:color w:val="243447"/>
                <w:sz w:val="16"/>
              </w:rPr>
              <w:t>MySQL Workbench and Microsoft Power BI</w:t>
            </w:r>
          </w:p>
        </w:tc>
      </w:tr>
      <w:tr w14:paraId="3AA1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shd w:val="clear" w:color="auto" w:fill="F3F6F9"/>
            <w:vAlign w:val="center"/>
          </w:tcPr>
          <w:p w14:paraId="6BD7709E">
            <w:pPr>
              <w:spacing w:after="40"/>
            </w:pPr>
            <w:r>
              <w:rPr>
                <w:rFonts w:ascii="Aptos" w:hAnsi="Aptos"/>
                <w:b w:val="0"/>
                <w:color w:val="243447"/>
                <w:sz w:val="16"/>
              </w:rPr>
              <w:t>Document ID</w:t>
            </w:r>
          </w:p>
        </w:tc>
        <w:tc>
          <w:tcPr>
            <w:tcW w:w="4997" w:type="dxa"/>
            <w:shd w:val="clear" w:color="auto" w:fill="F3F6F9"/>
            <w:vAlign w:val="center"/>
          </w:tcPr>
          <w:p w14:paraId="42959AAA">
            <w:pPr>
              <w:spacing w:after="40"/>
            </w:pPr>
            <w:r>
              <w:rPr>
                <w:rFonts w:ascii="Aptos" w:hAnsi="Aptos"/>
                <w:b w:val="0"/>
                <w:color w:val="243447"/>
                <w:sz w:val="16"/>
              </w:rPr>
              <w:t>FRD-NYC-TAXI-2026-02</w:t>
            </w:r>
          </w:p>
        </w:tc>
      </w:tr>
      <w:tr w14:paraId="5170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6CDD0AF3">
            <w:pPr>
              <w:spacing w:after="40"/>
            </w:pPr>
            <w:r>
              <w:rPr>
                <w:rFonts w:ascii="Aptos" w:hAnsi="Aptos"/>
                <w:b w:val="0"/>
                <w:color w:val="243447"/>
                <w:sz w:val="16"/>
              </w:rPr>
              <w:t>Source basis</w:t>
            </w:r>
          </w:p>
        </w:tc>
        <w:tc>
          <w:tcPr>
            <w:tcW w:w="4997" w:type="dxa"/>
            <w:vAlign w:val="center"/>
          </w:tcPr>
          <w:p w14:paraId="581D89D9">
            <w:pPr>
              <w:spacing w:after="40"/>
            </w:pPr>
            <w:r>
              <w:rPr>
                <w:rFonts w:ascii="Aptos" w:hAnsi="Aptos"/>
                <w:b w:val="0"/>
                <w:color w:val="243447"/>
                <w:sz w:val="16"/>
              </w:rPr>
              <w:t>Supplied SQL runbook, quality report, KPI dictionary, dashboard specification and related project artifacts</w:t>
            </w:r>
          </w:p>
        </w:tc>
      </w:tr>
    </w:tbl>
    <w:p w14:paraId="10128B58">
      <w:pPr>
        <w:spacing w:after="20"/>
      </w:pPr>
    </w:p>
    <w:p w14:paraId="4BE83096">
      <w:pPr>
        <w:pStyle w:val="3"/>
      </w:pPr>
      <w:r>
        <w:t>Purpose and evidence boundary</w:t>
      </w:r>
    </w:p>
    <w:p w14:paraId="7C759783">
      <w:r>
        <w:t>This document describes functional behavior and outputs for the documented February 2026 analytics workflow. It reflects the supplied project artifacts and does not claim features or deployment capabilities that are not evidenced. Where implementation details are unknown, the actual SQL scripts, database schema, and Power BI file remain authoritative.</w:t>
      </w:r>
    </w:p>
    <w:p w14:paraId="76A36CCB">
      <w:r>
        <w:br w:type="page"/>
      </w:r>
    </w:p>
    <w:p w14:paraId="09D7D9D0">
      <w:pPr>
        <w:pStyle w:val="2"/>
      </w:pPr>
      <w:r>
        <w:t>1. System context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3331"/>
        <w:gridCol w:w="3331"/>
      </w:tblGrid>
      <w:tr w14:paraId="1EA7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31" w:type="dxa"/>
            <w:shd w:val="clear" w:color="auto" w:fill="17365D"/>
            <w:vAlign w:val="center"/>
          </w:tcPr>
          <w:p w14:paraId="4F86B88D">
            <w:pPr>
              <w:spacing w:after="40"/>
            </w:pPr>
            <w:r>
              <w:rPr>
                <w:rFonts w:ascii="Aptos" w:hAnsi="Aptos"/>
                <w:b/>
                <w:color w:val="FFFFFF"/>
                <w:sz w:val="16"/>
              </w:rPr>
              <w:t>Component</w:t>
            </w:r>
          </w:p>
        </w:tc>
        <w:tc>
          <w:tcPr>
            <w:tcW w:w="3331" w:type="dxa"/>
            <w:shd w:val="clear" w:color="auto" w:fill="17365D"/>
            <w:vAlign w:val="center"/>
          </w:tcPr>
          <w:p w14:paraId="08DEB65B">
            <w:pPr>
              <w:spacing w:after="40"/>
            </w:pPr>
            <w:r>
              <w:rPr>
                <w:rFonts w:ascii="Aptos" w:hAnsi="Aptos"/>
                <w:b/>
                <w:color w:val="FFFFFF"/>
                <w:sz w:val="16"/>
              </w:rPr>
              <w:t>Documented role</w:t>
            </w:r>
          </w:p>
        </w:tc>
        <w:tc>
          <w:tcPr>
            <w:tcW w:w="3331" w:type="dxa"/>
            <w:shd w:val="clear" w:color="auto" w:fill="17365D"/>
            <w:vAlign w:val="center"/>
          </w:tcPr>
          <w:p w14:paraId="3AD9448E">
            <w:pPr>
              <w:spacing w:after="40"/>
            </w:pPr>
            <w:r>
              <w:rPr>
                <w:rFonts w:ascii="Aptos" w:hAnsi="Aptos"/>
                <w:b/>
                <w:color w:val="FFFFFF"/>
                <w:sz w:val="16"/>
              </w:rPr>
              <w:t>Boundary</w:t>
            </w:r>
          </w:p>
        </w:tc>
      </w:tr>
      <w:tr w14:paraId="0A42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3778BC6C">
            <w:pPr>
              <w:spacing w:after="40"/>
            </w:pPr>
            <w:r>
              <w:rPr>
                <w:rFonts w:ascii="Aptos" w:hAnsi="Aptos"/>
                <w:b w:val="0"/>
                <w:color w:val="243447"/>
                <w:sz w:val="16"/>
              </w:rPr>
              <w:t>Source trip data</w:t>
            </w:r>
          </w:p>
        </w:tc>
        <w:tc>
          <w:tcPr>
            <w:tcW w:w="3331" w:type="dxa"/>
            <w:vAlign w:val="center"/>
          </w:tcPr>
          <w:p w14:paraId="4808EAC5">
            <w:pPr>
              <w:spacing w:after="40"/>
            </w:pPr>
            <w:r>
              <w:rPr>
                <w:rFonts w:ascii="Aptos" w:hAnsi="Aptos"/>
                <w:b w:val="0"/>
                <w:color w:val="243447"/>
                <w:sz w:val="16"/>
              </w:rPr>
              <w:t>Initial source population for February 2026.</w:t>
            </w:r>
          </w:p>
        </w:tc>
        <w:tc>
          <w:tcPr>
            <w:tcW w:w="3331" w:type="dxa"/>
            <w:vAlign w:val="center"/>
          </w:tcPr>
          <w:p w14:paraId="0F9C23F1">
            <w:pPr>
              <w:spacing w:after="40"/>
            </w:pPr>
            <w:r>
              <w:rPr>
                <w:rFonts w:ascii="Aptos" w:hAnsi="Aptos"/>
                <w:b w:val="0"/>
                <w:color w:val="243447"/>
                <w:sz w:val="16"/>
              </w:rPr>
              <w:t>Source acquisition and hosting are outside this specification.</w:t>
            </w:r>
          </w:p>
        </w:tc>
      </w:tr>
      <w:tr w14:paraId="1A81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4790A43F">
            <w:pPr>
              <w:spacing w:after="40"/>
            </w:pPr>
            <w:r>
              <w:rPr>
                <w:rFonts w:ascii="Aptos" w:hAnsi="Aptos"/>
                <w:b w:val="0"/>
                <w:color w:val="243447"/>
                <w:sz w:val="16"/>
              </w:rPr>
              <w:t>MySQL staged tables</w:t>
            </w:r>
          </w:p>
        </w:tc>
        <w:tc>
          <w:tcPr>
            <w:tcW w:w="3331" w:type="dxa"/>
            <w:shd w:val="clear" w:color="auto" w:fill="F3F6F9"/>
            <w:vAlign w:val="center"/>
          </w:tcPr>
          <w:p w14:paraId="609510C6">
            <w:pPr>
              <w:spacing w:after="40"/>
            </w:pPr>
            <w:r>
              <w:rPr>
                <w:rFonts w:ascii="Aptos" w:hAnsi="Aptos"/>
                <w:b w:val="0"/>
                <w:color w:val="243447"/>
                <w:sz w:val="16"/>
              </w:rPr>
              <w:t>Separate imported, cleaned, filtered, and business-analysis populations.</w:t>
            </w:r>
          </w:p>
        </w:tc>
        <w:tc>
          <w:tcPr>
            <w:tcW w:w="3331" w:type="dxa"/>
            <w:shd w:val="clear" w:color="auto" w:fill="F3F6F9"/>
            <w:vAlign w:val="center"/>
          </w:tcPr>
          <w:p w14:paraId="56EA453C">
            <w:pPr>
              <w:spacing w:after="40"/>
            </w:pPr>
            <w:r>
              <w:rPr>
                <w:rFonts w:ascii="Aptos" w:hAnsi="Aptos"/>
                <w:b w:val="0"/>
                <w:color w:val="243447"/>
                <w:sz w:val="16"/>
              </w:rPr>
              <w:t>Exact ETL predicates and dependencies must be taken from implemented SQL.</w:t>
            </w:r>
          </w:p>
        </w:tc>
      </w:tr>
      <w:tr w14:paraId="7204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5A9F8E7D">
            <w:pPr>
              <w:spacing w:after="40"/>
            </w:pPr>
            <w:r>
              <w:rPr>
                <w:rFonts w:ascii="Aptos" w:hAnsi="Aptos"/>
                <w:b w:val="0"/>
                <w:color w:val="243447"/>
                <w:sz w:val="16"/>
              </w:rPr>
              <w:t>Analytical summary tables</w:t>
            </w:r>
          </w:p>
        </w:tc>
        <w:tc>
          <w:tcPr>
            <w:tcW w:w="3331" w:type="dxa"/>
            <w:vAlign w:val="center"/>
          </w:tcPr>
          <w:p w14:paraId="2BF1E585">
            <w:pPr>
              <w:spacing w:after="40"/>
            </w:pPr>
            <w:r>
              <w:rPr>
                <w:rFonts w:ascii="Aptos" w:hAnsi="Aptos"/>
                <w:b w:val="0"/>
                <w:color w:val="243447"/>
                <w:sz w:val="16"/>
              </w:rPr>
              <w:t>Support daily, hourly, pickup-location, route-directionality, and scenario analysis.</w:t>
            </w:r>
          </w:p>
        </w:tc>
        <w:tc>
          <w:tcPr>
            <w:tcW w:w="3331" w:type="dxa"/>
            <w:vAlign w:val="center"/>
          </w:tcPr>
          <w:p w14:paraId="0D94F380">
            <w:pPr>
              <w:spacing w:after="40"/>
            </w:pPr>
            <w:r>
              <w:rPr>
                <w:rFonts w:ascii="Aptos" w:hAnsi="Aptos"/>
                <w:b w:val="0"/>
                <w:color w:val="243447"/>
                <w:sz w:val="16"/>
              </w:rPr>
              <w:t>Exact schemas and join keys are governed by the actual database.</w:t>
            </w:r>
          </w:p>
        </w:tc>
      </w:tr>
      <w:tr w14:paraId="0681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092708DC">
            <w:pPr>
              <w:spacing w:after="40"/>
            </w:pPr>
            <w:r>
              <w:rPr>
                <w:rFonts w:ascii="Aptos" w:hAnsi="Aptos"/>
                <w:b w:val="0"/>
                <w:color w:val="243447"/>
                <w:sz w:val="16"/>
              </w:rPr>
              <w:t>Power BI report</w:t>
            </w:r>
          </w:p>
        </w:tc>
        <w:tc>
          <w:tcPr>
            <w:tcW w:w="3331" w:type="dxa"/>
            <w:shd w:val="clear" w:color="auto" w:fill="F3F6F9"/>
            <w:vAlign w:val="center"/>
          </w:tcPr>
          <w:p w14:paraId="59A0E0A0">
            <w:pPr>
              <w:spacing w:after="40"/>
            </w:pPr>
            <w:r>
              <w:rPr>
                <w:rFonts w:ascii="Aptos" w:hAnsi="Aptos"/>
                <w:b w:val="0"/>
                <w:color w:val="243447"/>
                <w:sz w:val="16"/>
              </w:rPr>
              <w:t>Presents documented analytical areas and KPIs.</w:t>
            </w:r>
          </w:p>
        </w:tc>
        <w:tc>
          <w:tcPr>
            <w:tcW w:w="3331" w:type="dxa"/>
            <w:shd w:val="clear" w:color="auto" w:fill="F3F6F9"/>
            <w:vAlign w:val="center"/>
          </w:tcPr>
          <w:p w14:paraId="01BFC776">
            <w:pPr>
              <w:spacing w:after="40"/>
            </w:pPr>
            <w:r>
              <w:rPr>
                <w:rFonts w:ascii="Aptos" w:hAnsi="Aptos"/>
                <w:b w:val="0"/>
                <w:color w:val="243447"/>
                <w:sz w:val="16"/>
              </w:rPr>
              <w:t>Unverified slicers, interactions, refresh mode, and access configuration are not asserted.</w:t>
            </w:r>
          </w:p>
        </w:tc>
      </w:tr>
      <w:tr w14:paraId="44CE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0B125500">
            <w:pPr>
              <w:spacing w:after="40"/>
            </w:pPr>
            <w:r>
              <w:rPr>
                <w:rFonts w:ascii="Aptos" w:hAnsi="Aptos"/>
                <w:b w:val="0"/>
                <w:color w:val="243447"/>
                <w:sz w:val="16"/>
              </w:rPr>
              <w:t>Project documentation</w:t>
            </w:r>
          </w:p>
        </w:tc>
        <w:tc>
          <w:tcPr>
            <w:tcW w:w="3331" w:type="dxa"/>
            <w:vAlign w:val="center"/>
          </w:tcPr>
          <w:p w14:paraId="0B410010">
            <w:pPr>
              <w:spacing w:after="40"/>
            </w:pPr>
            <w:r>
              <w:rPr>
                <w:rFonts w:ascii="Aptos" w:hAnsi="Aptos"/>
                <w:b w:val="0"/>
                <w:color w:val="243447"/>
                <w:sz w:val="16"/>
              </w:rPr>
              <w:t>Defines field meanings, KPI calculations, transformation decisions, user guidance, and validation evidence.</w:t>
            </w:r>
          </w:p>
        </w:tc>
        <w:tc>
          <w:tcPr>
            <w:tcW w:w="3331" w:type="dxa"/>
            <w:vAlign w:val="center"/>
          </w:tcPr>
          <w:p w14:paraId="5B284CB0">
            <w:pPr>
              <w:spacing w:after="40"/>
            </w:pPr>
            <w:r>
              <w:rPr>
                <w:rFonts w:ascii="Aptos" w:hAnsi="Aptos"/>
                <w:b w:val="0"/>
                <w:color w:val="243447"/>
                <w:sz w:val="16"/>
              </w:rPr>
              <w:t>Documentation must remain consistent with implementation and test evidence.</w:t>
            </w:r>
          </w:p>
        </w:tc>
      </w:tr>
    </w:tbl>
    <w:p w14:paraId="53AC8EB8">
      <w:pPr>
        <w:spacing w:after="20"/>
      </w:pPr>
    </w:p>
    <w:p w14:paraId="48ABDC2F">
      <w:pPr>
        <w:pStyle w:val="2"/>
      </w:pPr>
      <w:r>
        <w:t>2. Functional scope</w:t>
      </w:r>
    </w:p>
    <w:p w14:paraId="6610510C">
      <w:pPr>
        <w:pStyle w:val="3"/>
      </w:pPr>
      <w:r>
        <w:t>2.1 Included</w:t>
      </w:r>
    </w:p>
    <w:p w14:paraId="108E0475">
      <w:pPr>
        <w:pStyle w:val="23"/>
        <w:spacing w:after="40"/>
      </w:pPr>
      <w:r>
        <w:t>Document the staged SQL preparation workflow and row-count checkpoints.</w:t>
      </w:r>
    </w:p>
    <w:p w14:paraId="45B50124">
      <w:pPr>
        <w:pStyle w:val="23"/>
        <w:spacing w:after="40"/>
      </w:pPr>
      <w:r>
        <w:t>Describe supported analytical measures and summary outputs.</w:t>
      </w:r>
    </w:p>
    <w:p w14:paraId="24D0060C">
      <w:pPr>
        <w:pStyle w:val="23"/>
        <w:spacing w:after="40"/>
      </w:pPr>
      <w:r>
        <w:t>Describe six documented Power BI reporting areas and their intended analytical purpose.</w:t>
      </w:r>
    </w:p>
    <w:p w14:paraId="11651D6C">
      <w:pPr>
        <w:pStyle w:val="23"/>
        <w:spacing w:after="40"/>
      </w:pPr>
      <w:r>
        <w:t>Define validation expectations for KPI consistency, date coverage, airport measures, and scenario interpretation.</w:t>
      </w:r>
    </w:p>
    <w:p w14:paraId="116B42DB">
      <w:pPr>
        <w:pStyle w:val="23"/>
        <w:spacing w:after="40"/>
      </w:pPr>
      <w:r>
        <w:t>Identify unresolved dependencies and checks requiring execution or inspection.</w:t>
      </w:r>
    </w:p>
    <w:p w14:paraId="1AA15CCA">
      <w:pPr>
        <w:pStyle w:val="3"/>
      </w:pPr>
      <w:r>
        <w:t>2.2 Excluded</w:t>
      </w:r>
    </w:p>
    <w:p w14:paraId="0C44F1CF">
      <w:pPr>
        <w:pStyle w:val="23"/>
        <w:spacing w:after="40"/>
      </w:pPr>
      <w:r>
        <w:t>Live ingestion, real-time streaming, dispatch optimization, automated alerts, or driver assignment.</w:t>
      </w:r>
    </w:p>
    <w:p w14:paraId="5A380088">
      <w:pPr>
        <w:pStyle w:val="23"/>
        <w:spacing w:after="40"/>
      </w:pPr>
      <w:r>
        <w:t>Unverified scheduled refresh, cloud hosting, gateway, authentication, role-based access, or deployment behavior.</w:t>
      </w:r>
    </w:p>
    <w:p w14:paraId="68830E28">
      <w:pPr>
        <w:pStyle w:val="23"/>
        <w:spacing w:after="40"/>
      </w:pPr>
      <w:r>
        <w:t>Unspecified dashboard interactions such as slicers, bookmarks, drill-through, or custom tooltips.</w:t>
      </w:r>
    </w:p>
    <w:p w14:paraId="133EDC4C">
      <w:pPr>
        <w:pStyle w:val="23"/>
        <w:spacing w:after="40"/>
      </w:pPr>
      <w:r>
        <w:t>Business measures unsupported by available fields or documented SQL logic.</w:t>
      </w:r>
    </w:p>
    <w:p w14:paraId="2FA4D49F">
      <w:pPr>
        <w:pStyle w:val="2"/>
      </w:pPr>
      <w:r>
        <w:t>3.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866"/>
        <w:gridCol w:w="2665"/>
        <w:gridCol w:w="2393"/>
        <w:gridCol w:w="1688"/>
      </w:tblGrid>
      <w:tr w14:paraId="1BB2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99" w:type="dxa"/>
            <w:shd w:val="clear" w:color="auto" w:fill="17365D"/>
            <w:vAlign w:val="center"/>
          </w:tcPr>
          <w:p w14:paraId="2F567BCA">
            <w:pPr>
              <w:spacing w:after="40"/>
            </w:pPr>
            <w:r>
              <w:rPr>
                <w:rFonts w:ascii="Aptos" w:hAnsi="Aptos"/>
                <w:b/>
                <w:color w:val="FFFFFF"/>
                <w:sz w:val="16"/>
              </w:rPr>
              <w:t>ID</w:t>
            </w:r>
          </w:p>
        </w:tc>
        <w:tc>
          <w:tcPr>
            <w:tcW w:w="1999" w:type="dxa"/>
            <w:shd w:val="clear" w:color="auto" w:fill="17365D"/>
            <w:vAlign w:val="center"/>
          </w:tcPr>
          <w:p w14:paraId="7D67DD82">
            <w:pPr>
              <w:spacing w:after="40"/>
            </w:pPr>
            <w:r>
              <w:rPr>
                <w:rFonts w:ascii="Aptos" w:hAnsi="Aptos"/>
                <w:b/>
                <w:color w:val="FFFFFF"/>
                <w:sz w:val="16"/>
              </w:rPr>
              <w:t>Function</w:t>
            </w:r>
          </w:p>
        </w:tc>
        <w:tc>
          <w:tcPr>
            <w:tcW w:w="1999" w:type="dxa"/>
            <w:shd w:val="clear" w:color="auto" w:fill="17365D"/>
            <w:vAlign w:val="center"/>
          </w:tcPr>
          <w:p w14:paraId="23CD4CD2">
            <w:pPr>
              <w:spacing w:after="40"/>
            </w:pPr>
            <w:r>
              <w:rPr>
                <w:rFonts w:ascii="Aptos" w:hAnsi="Aptos"/>
                <w:b/>
                <w:color w:val="FFFFFF"/>
                <w:sz w:val="16"/>
              </w:rPr>
              <w:t>Requirement statement</w:t>
            </w:r>
          </w:p>
        </w:tc>
        <w:tc>
          <w:tcPr>
            <w:tcW w:w="1999" w:type="dxa"/>
            <w:shd w:val="clear" w:color="auto" w:fill="17365D"/>
            <w:vAlign w:val="center"/>
          </w:tcPr>
          <w:p w14:paraId="1CEE885C">
            <w:pPr>
              <w:spacing w:after="40"/>
            </w:pPr>
            <w:r>
              <w:rPr>
                <w:rFonts w:ascii="Aptos" w:hAnsi="Aptos"/>
                <w:b/>
                <w:color w:val="FFFFFF"/>
                <w:sz w:val="16"/>
              </w:rPr>
              <w:t>Acceptance / evidence reference</w:t>
            </w:r>
          </w:p>
        </w:tc>
        <w:tc>
          <w:tcPr>
            <w:tcW w:w="1999" w:type="dxa"/>
            <w:shd w:val="clear" w:color="auto" w:fill="17365D"/>
            <w:vAlign w:val="center"/>
          </w:tcPr>
          <w:p w14:paraId="282330FA">
            <w:pPr>
              <w:spacing w:after="40"/>
            </w:pPr>
            <w:r>
              <w:rPr>
                <w:rFonts w:ascii="Aptos" w:hAnsi="Aptos"/>
                <w:b/>
                <w:color w:val="FFFFFF"/>
                <w:sz w:val="16"/>
              </w:rPr>
              <w:t>Priority</w:t>
            </w:r>
          </w:p>
        </w:tc>
      </w:tr>
      <w:tr w14:paraId="4E71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78C5BDC3">
            <w:pPr>
              <w:spacing w:after="40"/>
            </w:pPr>
            <w:r>
              <w:rPr>
                <w:rFonts w:ascii="Aptos" w:hAnsi="Aptos"/>
                <w:b w:val="0"/>
                <w:color w:val="243447"/>
                <w:sz w:val="14"/>
              </w:rPr>
              <w:t>FR-01</w:t>
            </w:r>
          </w:p>
        </w:tc>
        <w:tc>
          <w:tcPr>
            <w:tcW w:w="1999" w:type="dxa"/>
            <w:vAlign w:val="center"/>
          </w:tcPr>
          <w:p w14:paraId="3CDF657C">
            <w:pPr>
              <w:spacing w:after="40"/>
            </w:pPr>
            <w:r>
              <w:rPr>
                <w:rFonts w:ascii="Aptos" w:hAnsi="Aptos"/>
                <w:b w:val="0"/>
                <w:color w:val="243447"/>
                <w:sz w:val="14"/>
              </w:rPr>
              <w:t>Input population</w:t>
            </w:r>
          </w:p>
        </w:tc>
        <w:tc>
          <w:tcPr>
            <w:tcW w:w="1999" w:type="dxa"/>
            <w:vAlign w:val="center"/>
          </w:tcPr>
          <w:p w14:paraId="53D6CD0B">
            <w:pPr>
              <w:spacing w:after="40"/>
            </w:pPr>
            <w:r>
              <w:rPr>
                <w:rFonts w:ascii="Aptos" w:hAnsi="Aptos"/>
                <w:b w:val="0"/>
                <w:color w:val="243447"/>
                <w:sz w:val="14"/>
              </w:rPr>
              <w:t>Use the February 2026 NYC Yellow Taxi source population represented by analytics_yellow_taxi.</w:t>
            </w:r>
          </w:p>
        </w:tc>
        <w:tc>
          <w:tcPr>
            <w:tcW w:w="1999" w:type="dxa"/>
            <w:vAlign w:val="center"/>
          </w:tcPr>
          <w:p w14:paraId="50C3B909">
            <w:pPr>
              <w:spacing w:after="40"/>
            </w:pPr>
            <w:r>
              <w:rPr>
                <w:rFonts w:ascii="Aptos" w:hAnsi="Aptos"/>
                <w:b w:val="0"/>
                <w:color w:val="243447"/>
                <w:sz w:val="14"/>
              </w:rPr>
              <w:t>Source table and import count are documented; source acquisition is outside this FRD.</w:t>
            </w:r>
          </w:p>
        </w:tc>
        <w:tc>
          <w:tcPr>
            <w:tcW w:w="1999" w:type="dxa"/>
            <w:vAlign w:val="center"/>
          </w:tcPr>
          <w:p w14:paraId="18B6F80D">
            <w:pPr>
              <w:spacing w:after="40"/>
            </w:pPr>
            <w:r>
              <w:rPr>
                <w:rFonts w:ascii="Aptos" w:hAnsi="Aptos"/>
                <w:b w:val="0"/>
                <w:color w:val="243447"/>
                <w:sz w:val="14"/>
              </w:rPr>
              <w:t>Core</w:t>
            </w:r>
          </w:p>
        </w:tc>
      </w:tr>
      <w:tr w14:paraId="34F7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4F5778D1">
            <w:pPr>
              <w:spacing w:after="40"/>
            </w:pPr>
            <w:r>
              <w:rPr>
                <w:rFonts w:ascii="Aptos" w:hAnsi="Aptos"/>
                <w:b w:val="0"/>
                <w:color w:val="243447"/>
                <w:sz w:val="14"/>
              </w:rPr>
              <w:t>FR-02</w:t>
            </w:r>
          </w:p>
        </w:tc>
        <w:tc>
          <w:tcPr>
            <w:tcW w:w="1999" w:type="dxa"/>
            <w:shd w:val="clear" w:color="auto" w:fill="F3F6F9"/>
            <w:vAlign w:val="center"/>
          </w:tcPr>
          <w:p w14:paraId="4FA354C3">
            <w:pPr>
              <w:spacing w:after="40"/>
            </w:pPr>
            <w:r>
              <w:rPr>
                <w:rFonts w:ascii="Aptos" w:hAnsi="Aptos"/>
                <w:b w:val="0"/>
                <w:color w:val="243447"/>
                <w:sz w:val="14"/>
              </w:rPr>
              <w:t>Staged processing</w:t>
            </w:r>
          </w:p>
        </w:tc>
        <w:tc>
          <w:tcPr>
            <w:tcW w:w="1999" w:type="dxa"/>
            <w:shd w:val="clear" w:color="auto" w:fill="F3F6F9"/>
            <w:vAlign w:val="center"/>
          </w:tcPr>
          <w:p w14:paraId="498BC6B5">
            <w:pPr>
              <w:spacing w:after="40"/>
            </w:pPr>
            <w:r>
              <w:rPr>
                <w:rFonts w:ascii="Aptos" w:hAnsi="Aptos"/>
                <w:b w:val="0"/>
                <w:color w:val="243447"/>
                <w:sz w:val="14"/>
              </w:rPr>
              <w:t>Distinguish source, cleaned, final, and business-analysis stages.</w:t>
            </w:r>
          </w:p>
        </w:tc>
        <w:tc>
          <w:tcPr>
            <w:tcW w:w="1999" w:type="dxa"/>
            <w:shd w:val="clear" w:color="auto" w:fill="F3F6F9"/>
            <w:vAlign w:val="center"/>
          </w:tcPr>
          <w:p w14:paraId="00C5F6F9">
            <w:pPr>
              <w:spacing w:after="40"/>
            </w:pPr>
            <w:r>
              <w:rPr>
                <w:rFonts w:ascii="Aptos" w:hAnsi="Aptos"/>
                <w:b w:val="0"/>
                <w:color w:val="243447"/>
                <w:sz w:val="14"/>
              </w:rPr>
              <w:t>analytics_yellow_taxi; analytics_yellow_taxi_cleaned; analytics_yellow_taxi_final; analytics_yellow_taxi_business.</w:t>
            </w:r>
          </w:p>
        </w:tc>
        <w:tc>
          <w:tcPr>
            <w:tcW w:w="1999" w:type="dxa"/>
            <w:shd w:val="clear" w:color="auto" w:fill="F3F6F9"/>
            <w:vAlign w:val="center"/>
          </w:tcPr>
          <w:p w14:paraId="192F4931">
            <w:pPr>
              <w:spacing w:after="40"/>
            </w:pPr>
            <w:r>
              <w:rPr>
                <w:rFonts w:ascii="Aptos" w:hAnsi="Aptos"/>
                <w:b w:val="0"/>
                <w:color w:val="243447"/>
                <w:sz w:val="14"/>
              </w:rPr>
              <w:t>Core</w:t>
            </w:r>
          </w:p>
        </w:tc>
      </w:tr>
      <w:tr w14:paraId="5CCC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1430111A">
            <w:pPr>
              <w:spacing w:after="40"/>
            </w:pPr>
            <w:r>
              <w:rPr>
                <w:rFonts w:ascii="Aptos" w:hAnsi="Aptos"/>
                <w:b w:val="0"/>
                <w:color w:val="243447"/>
                <w:sz w:val="14"/>
              </w:rPr>
              <w:t>FR-03</w:t>
            </w:r>
          </w:p>
        </w:tc>
        <w:tc>
          <w:tcPr>
            <w:tcW w:w="1999" w:type="dxa"/>
            <w:vAlign w:val="center"/>
          </w:tcPr>
          <w:p w14:paraId="174F50C8">
            <w:pPr>
              <w:spacing w:after="40"/>
            </w:pPr>
            <w:r>
              <w:rPr>
                <w:rFonts w:ascii="Aptos" w:hAnsi="Aptos"/>
                <w:b w:val="0"/>
                <w:color w:val="243447"/>
                <w:sz w:val="14"/>
              </w:rPr>
              <w:t>Row-count checkpoints</w:t>
            </w:r>
          </w:p>
        </w:tc>
        <w:tc>
          <w:tcPr>
            <w:tcW w:w="1999" w:type="dxa"/>
            <w:vAlign w:val="center"/>
          </w:tcPr>
          <w:p w14:paraId="4F5B0285">
            <w:pPr>
              <w:spacing w:after="40"/>
            </w:pPr>
            <w:r>
              <w:rPr>
                <w:rFonts w:ascii="Aptos" w:hAnsi="Aptos"/>
                <w:b w:val="0"/>
                <w:color w:val="243447"/>
                <w:sz w:val="14"/>
              </w:rPr>
              <w:t>Expose stage counts and enable reconciliation.</w:t>
            </w:r>
          </w:p>
        </w:tc>
        <w:tc>
          <w:tcPr>
            <w:tcW w:w="1999" w:type="dxa"/>
            <w:vAlign w:val="center"/>
          </w:tcPr>
          <w:p w14:paraId="1FF31333">
            <w:pPr>
              <w:spacing w:after="40"/>
            </w:pPr>
            <w:r>
              <w:rPr>
                <w:rFonts w:ascii="Aptos" w:hAnsi="Aptos"/>
                <w:b w:val="0"/>
                <w:color w:val="243447"/>
                <w:sz w:val="14"/>
              </w:rPr>
              <w:t>3,399,850; 3,359,607; 3,355,645; 3,329,782.</w:t>
            </w:r>
          </w:p>
        </w:tc>
        <w:tc>
          <w:tcPr>
            <w:tcW w:w="1999" w:type="dxa"/>
            <w:vAlign w:val="center"/>
          </w:tcPr>
          <w:p w14:paraId="2E062C23">
            <w:pPr>
              <w:spacing w:after="40"/>
            </w:pPr>
            <w:r>
              <w:rPr>
                <w:rFonts w:ascii="Aptos" w:hAnsi="Aptos"/>
                <w:b w:val="0"/>
                <w:color w:val="243447"/>
                <w:sz w:val="14"/>
              </w:rPr>
              <w:t>Core</w:t>
            </w:r>
          </w:p>
        </w:tc>
      </w:tr>
      <w:tr w14:paraId="16C1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01059C6B">
            <w:pPr>
              <w:spacing w:after="40"/>
            </w:pPr>
            <w:r>
              <w:rPr>
                <w:rFonts w:ascii="Aptos" w:hAnsi="Aptos"/>
                <w:b w:val="0"/>
                <w:color w:val="243447"/>
                <w:sz w:val="14"/>
              </w:rPr>
              <w:t>FR-04</w:t>
            </w:r>
          </w:p>
        </w:tc>
        <w:tc>
          <w:tcPr>
            <w:tcW w:w="1999" w:type="dxa"/>
            <w:shd w:val="clear" w:color="auto" w:fill="F3F6F9"/>
            <w:vAlign w:val="center"/>
          </w:tcPr>
          <w:p w14:paraId="4BC0F509">
            <w:pPr>
              <w:spacing w:after="40"/>
            </w:pPr>
            <w:r>
              <w:rPr>
                <w:rFonts w:ascii="Aptos" w:hAnsi="Aptos"/>
                <w:b w:val="0"/>
                <w:color w:val="243447"/>
                <w:sz w:val="14"/>
              </w:rPr>
              <w:t>Timestamp/duration cleaning</w:t>
            </w:r>
          </w:p>
        </w:tc>
        <w:tc>
          <w:tcPr>
            <w:tcW w:w="1999" w:type="dxa"/>
            <w:shd w:val="clear" w:color="auto" w:fill="F3F6F9"/>
            <w:vAlign w:val="center"/>
          </w:tcPr>
          <w:p w14:paraId="7D0246DF">
            <w:pPr>
              <w:spacing w:after="40"/>
            </w:pPr>
            <w:r>
              <w:rPr>
                <w:rFonts w:ascii="Aptos" w:hAnsi="Aptos"/>
                <w:b w:val="0"/>
                <w:color w:val="243447"/>
                <w:sz w:val="14"/>
              </w:rPr>
              <w:t>Document implemented cleaning logic using actual SQL predicates.</w:t>
            </w:r>
          </w:p>
        </w:tc>
        <w:tc>
          <w:tcPr>
            <w:tcW w:w="1999" w:type="dxa"/>
            <w:shd w:val="clear" w:color="auto" w:fill="F3F6F9"/>
            <w:vAlign w:val="center"/>
          </w:tcPr>
          <w:p w14:paraId="2AF34F44">
            <w:pPr>
              <w:spacing w:after="40"/>
            </w:pPr>
            <w:r>
              <w:rPr>
                <w:rFonts w:ascii="Aptos" w:hAnsi="Aptos"/>
                <w:b w:val="0"/>
                <w:color w:val="243447"/>
                <w:sz w:val="14"/>
              </w:rPr>
              <w:t>Project notes record 40,243 rows associated with timestamp/duration cleaning; exact predicates remain SQL-authoritative.</w:t>
            </w:r>
          </w:p>
        </w:tc>
        <w:tc>
          <w:tcPr>
            <w:tcW w:w="1999" w:type="dxa"/>
            <w:shd w:val="clear" w:color="auto" w:fill="F3F6F9"/>
            <w:vAlign w:val="center"/>
          </w:tcPr>
          <w:p w14:paraId="2CD9CE16">
            <w:pPr>
              <w:spacing w:after="40"/>
            </w:pPr>
            <w:r>
              <w:rPr>
                <w:rFonts w:ascii="Aptos" w:hAnsi="Aptos"/>
                <w:b w:val="0"/>
                <w:color w:val="243447"/>
                <w:sz w:val="14"/>
              </w:rPr>
              <w:t>Core</w:t>
            </w:r>
          </w:p>
        </w:tc>
      </w:tr>
      <w:tr w14:paraId="0BF0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34DB773D">
            <w:pPr>
              <w:spacing w:after="40"/>
            </w:pPr>
            <w:r>
              <w:rPr>
                <w:rFonts w:ascii="Aptos" w:hAnsi="Aptos"/>
                <w:b w:val="0"/>
                <w:color w:val="243447"/>
                <w:sz w:val="14"/>
              </w:rPr>
              <w:t>FR-05</w:t>
            </w:r>
          </w:p>
        </w:tc>
        <w:tc>
          <w:tcPr>
            <w:tcW w:w="1999" w:type="dxa"/>
            <w:vAlign w:val="center"/>
          </w:tcPr>
          <w:p w14:paraId="49D93473">
            <w:pPr>
              <w:spacing w:after="40"/>
            </w:pPr>
            <w:r>
              <w:rPr>
                <w:rFonts w:ascii="Aptos" w:hAnsi="Aptos"/>
                <w:b w:val="0"/>
                <w:color w:val="243447"/>
                <w:sz w:val="14"/>
              </w:rPr>
              <w:t>Duration threshold</w:t>
            </w:r>
          </w:p>
        </w:tc>
        <w:tc>
          <w:tcPr>
            <w:tcW w:w="1999" w:type="dxa"/>
            <w:vAlign w:val="center"/>
          </w:tcPr>
          <w:p w14:paraId="5BB6F3C2">
            <w:pPr>
              <w:spacing w:after="40"/>
            </w:pPr>
            <w:r>
              <w:rPr>
                <w:rFonts w:ascii="Aptos" w:hAnsi="Aptos"/>
                <w:b w:val="0"/>
                <w:color w:val="243447"/>
                <w:sz w:val="14"/>
              </w:rPr>
              <w:t>Identify &gt;120-minute rule as project-defined filter.</w:t>
            </w:r>
          </w:p>
        </w:tc>
        <w:tc>
          <w:tcPr>
            <w:tcW w:w="1999" w:type="dxa"/>
            <w:vAlign w:val="center"/>
          </w:tcPr>
          <w:p w14:paraId="65B7062D">
            <w:pPr>
              <w:spacing w:after="40"/>
            </w:pPr>
            <w:r>
              <w:rPr>
                <w:rFonts w:ascii="Aptos" w:hAnsi="Aptos"/>
                <w:b w:val="0"/>
                <w:color w:val="243447"/>
                <w:sz w:val="14"/>
              </w:rPr>
              <w:t>Documented count 3,962; not a universal trip-validity rule.</w:t>
            </w:r>
          </w:p>
        </w:tc>
        <w:tc>
          <w:tcPr>
            <w:tcW w:w="1999" w:type="dxa"/>
            <w:vAlign w:val="center"/>
          </w:tcPr>
          <w:p w14:paraId="0EF3C0DD">
            <w:pPr>
              <w:spacing w:after="40"/>
            </w:pPr>
            <w:r>
              <w:rPr>
                <w:rFonts w:ascii="Aptos" w:hAnsi="Aptos"/>
                <w:b w:val="0"/>
                <w:color w:val="243447"/>
                <w:sz w:val="14"/>
              </w:rPr>
              <w:t>Core</w:t>
            </w:r>
          </w:p>
        </w:tc>
      </w:tr>
      <w:tr w14:paraId="7ABD4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45163D14">
            <w:pPr>
              <w:spacing w:after="40"/>
            </w:pPr>
            <w:r>
              <w:rPr>
                <w:rFonts w:ascii="Aptos" w:hAnsi="Aptos"/>
                <w:b w:val="0"/>
                <w:color w:val="243447"/>
                <w:sz w:val="14"/>
              </w:rPr>
              <w:t>FR-06</w:t>
            </w:r>
          </w:p>
        </w:tc>
        <w:tc>
          <w:tcPr>
            <w:tcW w:w="1999" w:type="dxa"/>
            <w:shd w:val="clear" w:color="auto" w:fill="F3F6F9"/>
            <w:vAlign w:val="center"/>
          </w:tcPr>
          <w:p w14:paraId="6217EC78">
            <w:pPr>
              <w:spacing w:after="40"/>
            </w:pPr>
            <w:r>
              <w:rPr>
                <w:rFonts w:ascii="Aptos" w:hAnsi="Aptos"/>
                <w:b w:val="0"/>
                <w:color w:val="243447"/>
                <w:sz w:val="14"/>
              </w:rPr>
              <w:t>Coverage-day handling</w:t>
            </w:r>
          </w:p>
        </w:tc>
        <w:tc>
          <w:tcPr>
            <w:tcW w:w="1999" w:type="dxa"/>
            <w:shd w:val="clear" w:color="auto" w:fill="F3F6F9"/>
            <w:vAlign w:val="center"/>
          </w:tcPr>
          <w:p w14:paraId="0E4B6576">
            <w:pPr>
              <w:spacing w:after="40"/>
            </w:pPr>
            <w:r>
              <w:rPr>
                <w:rFonts w:ascii="Aptos" w:hAnsi="Aptos"/>
                <w:b w:val="0"/>
                <w:color w:val="243447"/>
                <w:sz w:val="14"/>
              </w:rPr>
              <w:t>Disclose absence of February 23 in business-analysis table.</w:t>
            </w:r>
          </w:p>
        </w:tc>
        <w:tc>
          <w:tcPr>
            <w:tcW w:w="1999" w:type="dxa"/>
            <w:shd w:val="clear" w:color="auto" w:fill="F3F6F9"/>
            <w:vAlign w:val="center"/>
          </w:tcPr>
          <w:p w14:paraId="1A00640E">
            <w:pPr>
              <w:spacing w:after="40"/>
            </w:pPr>
            <w:r>
              <w:rPr>
                <w:rFonts w:ascii="Aptos" w:hAnsi="Aptos"/>
                <w:b w:val="0"/>
                <w:color w:val="243447"/>
                <w:sz w:val="14"/>
              </w:rPr>
              <w:t>27 of 28 dates; raw count reported as 26,019 for Feb 23; cause unresolved.</w:t>
            </w:r>
          </w:p>
        </w:tc>
        <w:tc>
          <w:tcPr>
            <w:tcW w:w="1999" w:type="dxa"/>
            <w:shd w:val="clear" w:color="auto" w:fill="F3F6F9"/>
            <w:vAlign w:val="center"/>
          </w:tcPr>
          <w:p w14:paraId="3D3BFF7C">
            <w:pPr>
              <w:spacing w:after="40"/>
            </w:pPr>
            <w:r>
              <w:rPr>
                <w:rFonts w:ascii="Aptos" w:hAnsi="Aptos"/>
                <w:b w:val="0"/>
                <w:color w:val="243447"/>
                <w:sz w:val="14"/>
              </w:rPr>
              <w:t>Core</w:t>
            </w:r>
          </w:p>
        </w:tc>
      </w:tr>
      <w:tr w14:paraId="1645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07CB9BCA">
            <w:pPr>
              <w:spacing w:after="40"/>
            </w:pPr>
            <w:r>
              <w:rPr>
                <w:rFonts w:ascii="Aptos" w:hAnsi="Aptos"/>
                <w:b w:val="0"/>
                <w:color w:val="243447"/>
                <w:sz w:val="14"/>
              </w:rPr>
              <w:t>FR-07</w:t>
            </w:r>
          </w:p>
        </w:tc>
        <w:tc>
          <w:tcPr>
            <w:tcW w:w="1999" w:type="dxa"/>
            <w:vAlign w:val="center"/>
          </w:tcPr>
          <w:p w14:paraId="77CA2288">
            <w:pPr>
              <w:spacing w:after="40"/>
            </w:pPr>
            <w:r>
              <w:rPr>
                <w:rFonts w:ascii="Aptos" w:hAnsi="Aptos"/>
                <w:b w:val="0"/>
                <w:color w:val="243447"/>
                <w:sz w:val="14"/>
              </w:rPr>
              <w:t>Trip count KPI</w:t>
            </w:r>
          </w:p>
        </w:tc>
        <w:tc>
          <w:tcPr>
            <w:tcW w:w="1999" w:type="dxa"/>
            <w:vAlign w:val="center"/>
          </w:tcPr>
          <w:p w14:paraId="07778155">
            <w:pPr>
              <w:spacing w:after="40"/>
            </w:pPr>
            <w:r>
              <w:rPr>
                <w:rFonts w:ascii="Aptos" w:hAnsi="Aptos"/>
                <w:b w:val="0"/>
                <w:color w:val="243447"/>
                <w:sz w:val="14"/>
              </w:rPr>
              <w:t>Define trip count as included records in business-analysis population.</w:t>
            </w:r>
          </w:p>
        </w:tc>
        <w:tc>
          <w:tcPr>
            <w:tcW w:w="1999" w:type="dxa"/>
            <w:vAlign w:val="center"/>
          </w:tcPr>
          <w:p w14:paraId="2FAA2EE4">
            <w:pPr>
              <w:spacing w:after="40"/>
            </w:pPr>
            <w:r>
              <w:rPr>
                <w:rFonts w:ascii="Aptos" w:hAnsi="Aptos"/>
                <w:b w:val="0"/>
                <w:color w:val="243447"/>
                <w:sz w:val="14"/>
              </w:rPr>
              <w:t>COUNT of included records; reference 3,329,782.</w:t>
            </w:r>
          </w:p>
        </w:tc>
        <w:tc>
          <w:tcPr>
            <w:tcW w:w="1999" w:type="dxa"/>
            <w:vAlign w:val="center"/>
          </w:tcPr>
          <w:p w14:paraId="3BCE527D">
            <w:pPr>
              <w:spacing w:after="40"/>
            </w:pPr>
            <w:r>
              <w:rPr>
                <w:rFonts w:ascii="Aptos" w:hAnsi="Aptos"/>
                <w:b w:val="0"/>
                <w:color w:val="243447"/>
                <w:sz w:val="14"/>
              </w:rPr>
              <w:t>Core</w:t>
            </w:r>
          </w:p>
        </w:tc>
      </w:tr>
      <w:tr w14:paraId="3BCC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6A5C734C">
            <w:pPr>
              <w:spacing w:after="40"/>
            </w:pPr>
            <w:r>
              <w:rPr>
                <w:rFonts w:ascii="Aptos" w:hAnsi="Aptos"/>
                <w:b w:val="0"/>
                <w:color w:val="243447"/>
                <w:sz w:val="14"/>
              </w:rPr>
              <w:t>FR-08</w:t>
            </w:r>
          </w:p>
        </w:tc>
        <w:tc>
          <w:tcPr>
            <w:tcW w:w="1999" w:type="dxa"/>
            <w:shd w:val="clear" w:color="auto" w:fill="F3F6F9"/>
            <w:vAlign w:val="center"/>
          </w:tcPr>
          <w:p w14:paraId="566399F3">
            <w:pPr>
              <w:spacing w:after="40"/>
            </w:pPr>
            <w:r>
              <w:rPr>
                <w:rFonts w:ascii="Aptos" w:hAnsi="Aptos"/>
                <w:b w:val="0"/>
                <w:color w:val="243447"/>
                <w:sz w:val="14"/>
              </w:rPr>
              <w:t>Recorded total amount</w:t>
            </w:r>
          </w:p>
        </w:tc>
        <w:tc>
          <w:tcPr>
            <w:tcW w:w="1999" w:type="dxa"/>
            <w:shd w:val="clear" w:color="auto" w:fill="F3F6F9"/>
            <w:vAlign w:val="center"/>
          </w:tcPr>
          <w:p w14:paraId="5DF24570">
            <w:pPr>
              <w:spacing w:after="40"/>
            </w:pPr>
            <w:r>
              <w:rPr>
                <w:rFonts w:ascii="Aptos" w:hAnsi="Aptos"/>
                <w:b w:val="0"/>
                <w:color w:val="243447"/>
                <w:sz w:val="14"/>
              </w:rPr>
              <w:t>Define total recorded amount as SUM(total_amount).</w:t>
            </w:r>
          </w:p>
        </w:tc>
        <w:tc>
          <w:tcPr>
            <w:tcW w:w="1999" w:type="dxa"/>
            <w:shd w:val="clear" w:color="auto" w:fill="F3F6F9"/>
            <w:vAlign w:val="center"/>
          </w:tcPr>
          <w:p w14:paraId="21BC7119">
            <w:pPr>
              <w:spacing w:after="40"/>
            </w:pPr>
            <w:r>
              <w:rPr>
                <w:rFonts w:ascii="Aptos" w:hAnsi="Aptos"/>
                <w:b w:val="0"/>
                <w:color w:val="243447"/>
                <w:sz w:val="14"/>
              </w:rPr>
              <w:t>Reference $100,340,136.16; not automatically accounting revenue or profit.</w:t>
            </w:r>
          </w:p>
        </w:tc>
        <w:tc>
          <w:tcPr>
            <w:tcW w:w="1999" w:type="dxa"/>
            <w:shd w:val="clear" w:color="auto" w:fill="F3F6F9"/>
            <w:vAlign w:val="center"/>
          </w:tcPr>
          <w:p w14:paraId="49E02A09">
            <w:pPr>
              <w:spacing w:after="40"/>
            </w:pPr>
            <w:r>
              <w:rPr>
                <w:rFonts w:ascii="Aptos" w:hAnsi="Aptos"/>
                <w:b w:val="0"/>
                <w:color w:val="243447"/>
                <w:sz w:val="14"/>
              </w:rPr>
              <w:t>Core</w:t>
            </w:r>
          </w:p>
        </w:tc>
      </w:tr>
      <w:tr w14:paraId="5F2D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042B150A">
            <w:pPr>
              <w:spacing w:after="40"/>
            </w:pPr>
            <w:r>
              <w:rPr>
                <w:rFonts w:ascii="Aptos" w:hAnsi="Aptos"/>
                <w:b w:val="0"/>
                <w:color w:val="243447"/>
                <w:sz w:val="14"/>
              </w:rPr>
              <w:t>FR-09</w:t>
            </w:r>
          </w:p>
        </w:tc>
        <w:tc>
          <w:tcPr>
            <w:tcW w:w="1999" w:type="dxa"/>
            <w:vAlign w:val="center"/>
          </w:tcPr>
          <w:p w14:paraId="68337068">
            <w:pPr>
              <w:spacing w:after="40"/>
            </w:pPr>
            <w:r>
              <w:rPr>
                <w:rFonts w:ascii="Aptos" w:hAnsi="Aptos"/>
                <w:b w:val="0"/>
                <w:color w:val="243447"/>
                <w:sz w:val="14"/>
              </w:rPr>
              <w:t>Average amount per trip</w:t>
            </w:r>
          </w:p>
        </w:tc>
        <w:tc>
          <w:tcPr>
            <w:tcW w:w="1999" w:type="dxa"/>
            <w:vAlign w:val="center"/>
          </w:tcPr>
          <w:p w14:paraId="62F73359">
            <w:pPr>
              <w:spacing w:after="40"/>
            </w:pPr>
            <w:r>
              <w:rPr>
                <w:rFonts w:ascii="Aptos" w:hAnsi="Aptos"/>
                <w:b w:val="0"/>
                <w:color w:val="243447"/>
                <w:sz w:val="14"/>
              </w:rPr>
              <w:t>Define average recorded amount as AVG(total_amount).</w:t>
            </w:r>
          </w:p>
        </w:tc>
        <w:tc>
          <w:tcPr>
            <w:tcW w:w="1999" w:type="dxa"/>
            <w:vAlign w:val="center"/>
          </w:tcPr>
          <w:p w14:paraId="2EC7F117">
            <w:pPr>
              <w:spacing w:after="40"/>
            </w:pPr>
            <w:r>
              <w:rPr>
                <w:rFonts w:ascii="Aptos" w:hAnsi="Aptos"/>
                <w:b w:val="0"/>
                <w:color w:val="243447"/>
                <w:sz w:val="14"/>
              </w:rPr>
              <w:t>Reference $30.13 per trip.</w:t>
            </w:r>
          </w:p>
        </w:tc>
        <w:tc>
          <w:tcPr>
            <w:tcW w:w="1999" w:type="dxa"/>
            <w:vAlign w:val="center"/>
          </w:tcPr>
          <w:p w14:paraId="581142B4">
            <w:pPr>
              <w:spacing w:after="40"/>
            </w:pPr>
            <w:r>
              <w:rPr>
                <w:rFonts w:ascii="Aptos" w:hAnsi="Aptos"/>
                <w:b w:val="0"/>
                <w:color w:val="243447"/>
                <w:sz w:val="14"/>
              </w:rPr>
              <w:t>Core</w:t>
            </w:r>
          </w:p>
        </w:tc>
      </w:tr>
      <w:tr w14:paraId="22DC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63D09D64">
            <w:pPr>
              <w:spacing w:after="40"/>
            </w:pPr>
            <w:r>
              <w:rPr>
                <w:rFonts w:ascii="Aptos" w:hAnsi="Aptos"/>
                <w:b w:val="0"/>
                <w:color w:val="243447"/>
                <w:sz w:val="14"/>
              </w:rPr>
              <w:t>FR-10</w:t>
            </w:r>
          </w:p>
        </w:tc>
        <w:tc>
          <w:tcPr>
            <w:tcW w:w="1999" w:type="dxa"/>
            <w:shd w:val="clear" w:color="auto" w:fill="F3F6F9"/>
            <w:vAlign w:val="center"/>
          </w:tcPr>
          <w:p w14:paraId="1587B6EE">
            <w:pPr>
              <w:spacing w:after="40"/>
            </w:pPr>
            <w:r>
              <w:rPr>
                <w:rFonts w:ascii="Aptos" w:hAnsi="Aptos"/>
                <w:b w:val="0"/>
                <w:color w:val="243447"/>
                <w:sz w:val="14"/>
              </w:rPr>
              <w:t>Aggregate amount per mile</w:t>
            </w:r>
          </w:p>
        </w:tc>
        <w:tc>
          <w:tcPr>
            <w:tcW w:w="1999" w:type="dxa"/>
            <w:shd w:val="clear" w:color="auto" w:fill="F3F6F9"/>
            <w:vAlign w:val="center"/>
          </w:tcPr>
          <w:p w14:paraId="32D94D45">
            <w:pPr>
              <w:spacing w:after="40"/>
            </w:pPr>
            <w:r>
              <w:rPr>
                <w:rFonts w:ascii="Aptos" w:hAnsi="Aptos"/>
                <w:b w:val="0"/>
                <w:color w:val="243447"/>
                <w:sz w:val="14"/>
              </w:rPr>
              <w:t>Use SUM(total_amount)/SUM(trip_distance).</w:t>
            </w:r>
          </w:p>
        </w:tc>
        <w:tc>
          <w:tcPr>
            <w:tcW w:w="1999" w:type="dxa"/>
            <w:shd w:val="clear" w:color="auto" w:fill="F3F6F9"/>
            <w:vAlign w:val="center"/>
          </w:tcPr>
          <w:p w14:paraId="1E77140C">
            <w:pPr>
              <w:spacing w:after="40"/>
            </w:pPr>
            <w:r>
              <w:rPr>
                <w:rFonts w:ascii="Aptos" w:hAnsi="Aptos"/>
                <w:b w:val="0"/>
                <w:color w:val="243447"/>
                <w:sz w:val="14"/>
              </w:rPr>
              <w:t>Reference approximately $4.78 per mile; ratio of totals.</w:t>
            </w:r>
          </w:p>
        </w:tc>
        <w:tc>
          <w:tcPr>
            <w:tcW w:w="1999" w:type="dxa"/>
            <w:shd w:val="clear" w:color="auto" w:fill="F3F6F9"/>
            <w:vAlign w:val="center"/>
          </w:tcPr>
          <w:p w14:paraId="5102A961">
            <w:pPr>
              <w:spacing w:after="40"/>
            </w:pPr>
            <w:r>
              <w:rPr>
                <w:rFonts w:ascii="Aptos" w:hAnsi="Aptos"/>
                <w:b w:val="0"/>
                <w:color w:val="243447"/>
                <w:sz w:val="14"/>
              </w:rPr>
              <w:t>Core</w:t>
            </w:r>
          </w:p>
        </w:tc>
      </w:tr>
      <w:tr w14:paraId="2486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4D00AB84">
            <w:pPr>
              <w:spacing w:after="40"/>
            </w:pPr>
            <w:r>
              <w:rPr>
                <w:rFonts w:ascii="Aptos" w:hAnsi="Aptos"/>
                <w:b w:val="0"/>
                <w:color w:val="243447"/>
                <w:sz w:val="14"/>
              </w:rPr>
              <w:t>FR-11</w:t>
            </w:r>
          </w:p>
        </w:tc>
        <w:tc>
          <w:tcPr>
            <w:tcW w:w="1999" w:type="dxa"/>
            <w:vAlign w:val="center"/>
          </w:tcPr>
          <w:p w14:paraId="36B03A3E">
            <w:pPr>
              <w:spacing w:after="40"/>
            </w:pPr>
            <w:r>
              <w:rPr>
                <w:rFonts w:ascii="Aptos" w:hAnsi="Aptos"/>
                <w:b w:val="0"/>
                <w:color w:val="243447"/>
                <w:sz w:val="14"/>
              </w:rPr>
              <w:t>Duration measure</w:t>
            </w:r>
          </w:p>
        </w:tc>
        <w:tc>
          <w:tcPr>
            <w:tcW w:w="1999" w:type="dxa"/>
            <w:vAlign w:val="center"/>
          </w:tcPr>
          <w:p w14:paraId="2CFE86A6">
            <w:pPr>
              <w:spacing w:after="40"/>
            </w:pPr>
            <w:r>
              <w:rPr>
                <w:rFonts w:ascii="Aptos" w:hAnsi="Aptos"/>
                <w:b w:val="0"/>
                <w:color w:val="243447"/>
                <w:sz w:val="14"/>
              </w:rPr>
              <w:t>Present documented average duration with a clear unit.</w:t>
            </w:r>
          </w:p>
        </w:tc>
        <w:tc>
          <w:tcPr>
            <w:tcW w:w="1999" w:type="dxa"/>
            <w:vAlign w:val="center"/>
          </w:tcPr>
          <w:p w14:paraId="795A3F62">
            <w:pPr>
              <w:spacing w:after="40"/>
            </w:pPr>
            <w:r>
              <w:rPr>
                <w:rFonts w:ascii="Aptos" w:hAnsi="Aptos"/>
                <w:b w:val="0"/>
                <w:color w:val="243447"/>
                <w:sz w:val="14"/>
              </w:rPr>
              <w:t>Reference 17.64 minutes; verify exact SQL expression before asserting formula.</w:t>
            </w:r>
          </w:p>
        </w:tc>
        <w:tc>
          <w:tcPr>
            <w:tcW w:w="1999" w:type="dxa"/>
            <w:vAlign w:val="center"/>
          </w:tcPr>
          <w:p w14:paraId="7EEFA117">
            <w:pPr>
              <w:spacing w:after="40"/>
            </w:pPr>
            <w:r>
              <w:rPr>
                <w:rFonts w:ascii="Aptos" w:hAnsi="Aptos"/>
                <w:b w:val="0"/>
                <w:color w:val="243447"/>
                <w:sz w:val="14"/>
              </w:rPr>
              <w:t>Core</w:t>
            </w:r>
          </w:p>
        </w:tc>
      </w:tr>
      <w:tr w14:paraId="7DEE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0BE51AFD">
            <w:pPr>
              <w:spacing w:after="40"/>
            </w:pPr>
            <w:r>
              <w:rPr>
                <w:rFonts w:ascii="Aptos" w:hAnsi="Aptos"/>
                <w:b w:val="0"/>
                <w:color w:val="243447"/>
                <w:sz w:val="14"/>
              </w:rPr>
              <w:t>FR-12</w:t>
            </w:r>
          </w:p>
        </w:tc>
        <w:tc>
          <w:tcPr>
            <w:tcW w:w="1999" w:type="dxa"/>
            <w:shd w:val="clear" w:color="auto" w:fill="F3F6F9"/>
            <w:vAlign w:val="center"/>
          </w:tcPr>
          <w:p w14:paraId="382C3868">
            <w:pPr>
              <w:spacing w:after="40"/>
            </w:pPr>
            <w:r>
              <w:rPr>
                <w:rFonts w:ascii="Aptos" w:hAnsi="Aptos"/>
                <w:b w:val="0"/>
                <w:color w:val="243447"/>
                <w:sz w:val="14"/>
              </w:rPr>
              <w:t>Temporal summaries</w:t>
            </w:r>
          </w:p>
        </w:tc>
        <w:tc>
          <w:tcPr>
            <w:tcW w:w="1999" w:type="dxa"/>
            <w:shd w:val="clear" w:color="auto" w:fill="F3F6F9"/>
            <w:vAlign w:val="center"/>
          </w:tcPr>
          <w:p w14:paraId="0E5BC42B">
            <w:pPr>
              <w:spacing w:after="40"/>
            </w:pPr>
            <w:r>
              <w:rPr>
                <w:rFonts w:ascii="Aptos" w:hAnsi="Aptos"/>
                <w:b w:val="0"/>
                <w:color w:val="243447"/>
                <w:sz w:val="14"/>
              </w:rPr>
              <w:t>Support analysis by date and hour using documented summary outputs.</w:t>
            </w:r>
          </w:p>
        </w:tc>
        <w:tc>
          <w:tcPr>
            <w:tcW w:w="1999" w:type="dxa"/>
            <w:shd w:val="clear" w:color="auto" w:fill="F3F6F9"/>
            <w:vAlign w:val="center"/>
          </w:tcPr>
          <w:p w14:paraId="58167E3A">
            <w:pPr>
              <w:spacing w:after="40"/>
            </w:pPr>
            <w:r>
              <w:rPr>
                <w:rFonts w:ascii="Aptos" w:hAnsi="Aptos"/>
                <w:b w:val="0"/>
                <w:color w:val="243447"/>
                <w:sz w:val="14"/>
              </w:rPr>
              <w:t>analytics_daily_summary and analytics_hourly_summary.</w:t>
            </w:r>
          </w:p>
        </w:tc>
        <w:tc>
          <w:tcPr>
            <w:tcW w:w="1999" w:type="dxa"/>
            <w:shd w:val="clear" w:color="auto" w:fill="F3F6F9"/>
            <w:vAlign w:val="center"/>
          </w:tcPr>
          <w:p w14:paraId="1E3FACA3">
            <w:pPr>
              <w:spacing w:after="40"/>
            </w:pPr>
            <w:r>
              <w:rPr>
                <w:rFonts w:ascii="Aptos" w:hAnsi="Aptos"/>
                <w:b w:val="0"/>
                <w:color w:val="243447"/>
                <w:sz w:val="14"/>
              </w:rPr>
              <w:t>Core</w:t>
            </w:r>
          </w:p>
        </w:tc>
      </w:tr>
      <w:tr w14:paraId="4F2C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12C53D0D">
            <w:pPr>
              <w:spacing w:after="40"/>
            </w:pPr>
            <w:r>
              <w:rPr>
                <w:rFonts w:ascii="Aptos" w:hAnsi="Aptos"/>
                <w:b w:val="0"/>
                <w:color w:val="243447"/>
                <w:sz w:val="14"/>
              </w:rPr>
              <w:t>FR-13</w:t>
            </w:r>
          </w:p>
        </w:tc>
        <w:tc>
          <w:tcPr>
            <w:tcW w:w="1999" w:type="dxa"/>
            <w:vAlign w:val="center"/>
          </w:tcPr>
          <w:p w14:paraId="5D446CA4">
            <w:pPr>
              <w:spacing w:after="40"/>
            </w:pPr>
            <w:r>
              <w:rPr>
                <w:rFonts w:ascii="Aptos" w:hAnsi="Aptos"/>
                <w:b w:val="0"/>
                <w:color w:val="243447"/>
                <w:sz w:val="14"/>
              </w:rPr>
              <w:t>Pickup-location analysis</w:t>
            </w:r>
          </w:p>
        </w:tc>
        <w:tc>
          <w:tcPr>
            <w:tcW w:w="1999" w:type="dxa"/>
            <w:vAlign w:val="center"/>
          </w:tcPr>
          <w:p w14:paraId="38A5386E">
            <w:pPr>
              <w:spacing w:after="40"/>
            </w:pPr>
            <w:r>
              <w:rPr>
                <w:rFonts w:ascii="Aptos" w:hAnsi="Aptos"/>
                <w:b w:val="0"/>
                <w:color w:val="243447"/>
                <w:sz w:val="14"/>
              </w:rPr>
              <w:t>Support comparisons by pickup location using documented outputs.</w:t>
            </w:r>
          </w:p>
        </w:tc>
        <w:tc>
          <w:tcPr>
            <w:tcW w:w="1999" w:type="dxa"/>
            <w:vAlign w:val="center"/>
          </w:tcPr>
          <w:p w14:paraId="3536219D">
            <w:pPr>
              <w:spacing w:after="40"/>
            </w:pPr>
            <w:r>
              <w:rPr>
                <w:rFonts w:ascii="Aptos" w:hAnsi="Aptos"/>
                <w:b w:val="0"/>
                <w:color w:val="243447"/>
                <w:sz w:val="14"/>
              </w:rPr>
              <w:t>analytics_pickup_location_summary and taxi_zone_lookup; actual schema governs joins.</w:t>
            </w:r>
          </w:p>
        </w:tc>
        <w:tc>
          <w:tcPr>
            <w:tcW w:w="1999" w:type="dxa"/>
            <w:vAlign w:val="center"/>
          </w:tcPr>
          <w:p w14:paraId="2A60F016">
            <w:pPr>
              <w:spacing w:after="40"/>
            </w:pPr>
            <w:r>
              <w:rPr>
                <w:rFonts w:ascii="Aptos" w:hAnsi="Aptos"/>
                <w:b w:val="0"/>
                <w:color w:val="243447"/>
                <w:sz w:val="14"/>
              </w:rPr>
              <w:t>Core</w:t>
            </w:r>
          </w:p>
        </w:tc>
      </w:tr>
      <w:tr w14:paraId="3102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64849B85">
            <w:pPr>
              <w:spacing w:after="40"/>
            </w:pPr>
            <w:r>
              <w:rPr>
                <w:rFonts w:ascii="Aptos" w:hAnsi="Aptos"/>
                <w:b w:val="0"/>
                <w:color w:val="243447"/>
                <w:sz w:val="14"/>
              </w:rPr>
              <w:t>FR-14</w:t>
            </w:r>
          </w:p>
        </w:tc>
        <w:tc>
          <w:tcPr>
            <w:tcW w:w="1999" w:type="dxa"/>
            <w:shd w:val="clear" w:color="auto" w:fill="F3F6F9"/>
            <w:vAlign w:val="center"/>
          </w:tcPr>
          <w:p w14:paraId="24696B51">
            <w:pPr>
              <w:spacing w:after="40"/>
            </w:pPr>
            <w:r>
              <w:rPr>
                <w:rFonts w:ascii="Aptos" w:hAnsi="Aptos"/>
                <w:b w:val="0"/>
                <w:color w:val="243447"/>
                <w:sz w:val="14"/>
              </w:rPr>
              <w:t>Route directionality</w:t>
            </w:r>
          </w:p>
        </w:tc>
        <w:tc>
          <w:tcPr>
            <w:tcW w:w="1999" w:type="dxa"/>
            <w:shd w:val="clear" w:color="auto" w:fill="F3F6F9"/>
            <w:vAlign w:val="center"/>
          </w:tcPr>
          <w:p w14:paraId="73AC641D">
            <w:pPr>
              <w:spacing w:after="40"/>
            </w:pPr>
            <w:r>
              <w:rPr>
                <w:rFonts w:ascii="Aptos" w:hAnsi="Aptos"/>
                <w:b w:val="0"/>
                <w:color w:val="243447"/>
                <w:sz w:val="14"/>
              </w:rPr>
              <w:t>Present route-directionality differences as descriptive observations.</w:t>
            </w:r>
          </w:p>
        </w:tc>
        <w:tc>
          <w:tcPr>
            <w:tcW w:w="1999" w:type="dxa"/>
            <w:shd w:val="clear" w:color="auto" w:fill="F3F6F9"/>
            <w:vAlign w:val="center"/>
          </w:tcPr>
          <w:p w14:paraId="3C0C0094">
            <w:pPr>
              <w:spacing w:after="40"/>
            </w:pPr>
            <w:r>
              <w:rPr>
                <w:rFonts w:ascii="Aptos" w:hAnsi="Aptos"/>
                <w:b w:val="0"/>
                <w:color w:val="243447"/>
                <w:sz w:val="14"/>
              </w:rPr>
              <w:t>14 rows reportedly meet imbalance_pct &gt;= 50; ~ $3.51M sum of absolute differences is gross magnitude.</w:t>
            </w:r>
          </w:p>
        </w:tc>
        <w:tc>
          <w:tcPr>
            <w:tcW w:w="1999" w:type="dxa"/>
            <w:shd w:val="clear" w:color="auto" w:fill="F3F6F9"/>
            <w:vAlign w:val="center"/>
          </w:tcPr>
          <w:p w14:paraId="30813227">
            <w:pPr>
              <w:spacing w:after="40"/>
            </w:pPr>
            <w:r>
              <w:rPr>
                <w:rFonts w:ascii="Aptos" w:hAnsi="Aptos"/>
                <w:b w:val="0"/>
                <w:color w:val="243447"/>
                <w:sz w:val="14"/>
              </w:rPr>
              <w:t>Core</w:t>
            </w:r>
          </w:p>
        </w:tc>
      </w:tr>
      <w:tr w14:paraId="5C0A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26B3C7CB">
            <w:pPr>
              <w:spacing w:after="40"/>
            </w:pPr>
            <w:r>
              <w:rPr>
                <w:rFonts w:ascii="Aptos" w:hAnsi="Aptos"/>
                <w:b w:val="0"/>
                <w:color w:val="243447"/>
                <w:sz w:val="14"/>
              </w:rPr>
              <w:t>FR-15</w:t>
            </w:r>
          </w:p>
        </w:tc>
        <w:tc>
          <w:tcPr>
            <w:tcW w:w="1999" w:type="dxa"/>
            <w:vAlign w:val="center"/>
          </w:tcPr>
          <w:p w14:paraId="5C87F9AF">
            <w:pPr>
              <w:spacing w:after="40"/>
            </w:pPr>
            <w:r>
              <w:rPr>
                <w:rFonts w:ascii="Aptos" w:hAnsi="Aptos"/>
                <w:b w:val="0"/>
                <w:color w:val="243447"/>
                <w:sz w:val="14"/>
              </w:rPr>
              <w:t>Airport pickup analysis</w:t>
            </w:r>
          </w:p>
        </w:tc>
        <w:tc>
          <w:tcPr>
            <w:tcW w:w="1999" w:type="dxa"/>
            <w:vAlign w:val="center"/>
          </w:tcPr>
          <w:p w14:paraId="200C8270">
            <w:pPr>
              <w:spacing w:after="40"/>
            </w:pPr>
            <w:r>
              <w:rPr>
                <w:rFonts w:ascii="Aptos" w:hAnsi="Aptos"/>
                <w:b w:val="0"/>
                <w:color w:val="243447"/>
                <w:sz w:val="14"/>
              </w:rPr>
              <w:t>Label JFK and LaGuardia amount as pickup-zone analysis where that query is used.</w:t>
            </w:r>
          </w:p>
        </w:tc>
        <w:tc>
          <w:tcPr>
            <w:tcW w:w="1999" w:type="dxa"/>
            <w:vAlign w:val="center"/>
          </w:tcPr>
          <w:p w14:paraId="73B10AE0">
            <w:pPr>
              <w:spacing w:after="40"/>
            </w:pPr>
            <w:r>
              <w:rPr>
                <w:rFonts w:ascii="Aptos" w:hAnsi="Aptos"/>
                <w:b w:val="0"/>
                <w:color w:val="243447"/>
                <w:sz w:val="14"/>
              </w:rPr>
              <w:t>Reference approximately $14.33M; pickup-zone only.</w:t>
            </w:r>
          </w:p>
        </w:tc>
        <w:tc>
          <w:tcPr>
            <w:tcW w:w="1999" w:type="dxa"/>
            <w:vAlign w:val="center"/>
          </w:tcPr>
          <w:p w14:paraId="185588DD">
            <w:pPr>
              <w:spacing w:after="40"/>
            </w:pPr>
            <w:r>
              <w:rPr>
                <w:rFonts w:ascii="Aptos" w:hAnsi="Aptos"/>
                <w:b w:val="0"/>
                <w:color w:val="243447"/>
                <w:sz w:val="14"/>
              </w:rPr>
              <w:t>Core</w:t>
            </w:r>
          </w:p>
        </w:tc>
      </w:tr>
      <w:tr w14:paraId="2772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42605EC0">
            <w:pPr>
              <w:spacing w:after="40"/>
            </w:pPr>
            <w:r>
              <w:rPr>
                <w:rFonts w:ascii="Aptos" w:hAnsi="Aptos"/>
                <w:b w:val="0"/>
                <w:color w:val="243447"/>
                <w:sz w:val="14"/>
              </w:rPr>
              <w:t>FR-16</w:t>
            </w:r>
          </w:p>
        </w:tc>
        <w:tc>
          <w:tcPr>
            <w:tcW w:w="1999" w:type="dxa"/>
            <w:shd w:val="clear" w:color="auto" w:fill="F3F6F9"/>
            <w:vAlign w:val="center"/>
          </w:tcPr>
          <w:p w14:paraId="220EC680">
            <w:pPr>
              <w:spacing w:after="40"/>
            </w:pPr>
            <w:r>
              <w:rPr>
                <w:rFonts w:ascii="Aptos" w:hAnsi="Aptos"/>
                <w:b w:val="0"/>
                <w:color w:val="243447"/>
                <w:sz w:val="14"/>
              </w:rPr>
              <w:t>Scenario analysis</w:t>
            </w:r>
          </w:p>
        </w:tc>
        <w:tc>
          <w:tcPr>
            <w:tcW w:w="1999" w:type="dxa"/>
            <w:shd w:val="clear" w:color="auto" w:fill="F3F6F9"/>
            <w:vAlign w:val="center"/>
          </w:tcPr>
          <w:p w14:paraId="1D4927D0">
            <w:pPr>
              <w:spacing w:after="40"/>
            </w:pPr>
            <w:r>
              <w:rPr>
                <w:rFonts w:ascii="Aptos" w:hAnsi="Aptos"/>
                <w:b w:val="0"/>
                <w:color w:val="243447"/>
                <w:sz w:val="14"/>
              </w:rPr>
              <w:t>Provide documented 1%, 2%, 3%, and 5% illustrative scenarios where implemented.</w:t>
            </w:r>
          </w:p>
        </w:tc>
        <w:tc>
          <w:tcPr>
            <w:tcW w:w="1999" w:type="dxa"/>
            <w:shd w:val="clear" w:color="auto" w:fill="F3F6F9"/>
            <w:vAlign w:val="center"/>
          </w:tcPr>
          <w:p w14:paraId="5DF2EBF6">
            <w:pPr>
              <w:spacing w:after="40"/>
            </w:pPr>
            <w:r>
              <w:rPr>
                <w:rFonts w:ascii="Aptos" w:hAnsi="Aptos"/>
                <w:b w:val="0"/>
                <w:color w:val="243447"/>
                <w:sz w:val="14"/>
              </w:rPr>
              <w:t>Sensitivity analysis, not forecast or guaranteed outcome.</w:t>
            </w:r>
          </w:p>
        </w:tc>
        <w:tc>
          <w:tcPr>
            <w:tcW w:w="1999" w:type="dxa"/>
            <w:shd w:val="clear" w:color="auto" w:fill="F3F6F9"/>
            <w:vAlign w:val="center"/>
          </w:tcPr>
          <w:p w14:paraId="2D95AC58">
            <w:pPr>
              <w:spacing w:after="40"/>
            </w:pPr>
            <w:r>
              <w:rPr>
                <w:rFonts w:ascii="Aptos" w:hAnsi="Aptos"/>
                <w:b w:val="0"/>
                <w:color w:val="243447"/>
                <w:sz w:val="14"/>
              </w:rPr>
              <w:t>Core</w:t>
            </w:r>
          </w:p>
        </w:tc>
      </w:tr>
      <w:tr w14:paraId="6F74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07D09366">
            <w:pPr>
              <w:spacing w:after="40"/>
            </w:pPr>
            <w:r>
              <w:rPr>
                <w:rFonts w:ascii="Aptos" w:hAnsi="Aptos"/>
                <w:b w:val="0"/>
                <w:color w:val="243447"/>
                <w:sz w:val="14"/>
              </w:rPr>
              <w:t>FR-17</w:t>
            </w:r>
          </w:p>
        </w:tc>
        <w:tc>
          <w:tcPr>
            <w:tcW w:w="1999" w:type="dxa"/>
            <w:vAlign w:val="center"/>
          </w:tcPr>
          <w:p w14:paraId="53FFC4A4">
            <w:pPr>
              <w:spacing w:after="40"/>
            </w:pPr>
            <w:r>
              <w:rPr>
                <w:rFonts w:ascii="Aptos" w:hAnsi="Aptos"/>
                <w:b w:val="0"/>
                <w:color w:val="243447"/>
                <w:sz w:val="14"/>
              </w:rPr>
              <w:t>Dashboard page organization</w:t>
            </w:r>
          </w:p>
        </w:tc>
        <w:tc>
          <w:tcPr>
            <w:tcW w:w="1999" w:type="dxa"/>
            <w:vAlign w:val="center"/>
          </w:tcPr>
          <w:p w14:paraId="31A16DB0">
            <w:pPr>
              <w:spacing w:after="40"/>
            </w:pPr>
            <w:r>
              <w:rPr>
                <w:rFonts w:ascii="Aptos" w:hAnsi="Aptos"/>
                <w:b w:val="0"/>
                <w:color w:val="243447"/>
                <w:sz w:val="14"/>
              </w:rPr>
              <w:t>Identify six documented reporting areas.</w:t>
            </w:r>
          </w:p>
        </w:tc>
        <w:tc>
          <w:tcPr>
            <w:tcW w:w="1999" w:type="dxa"/>
            <w:vAlign w:val="center"/>
          </w:tcPr>
          <w:p w14:paraId="0E2517EA">
            <w:pPr>
              <w:spacing w:after="40"/>
            </w:pPr>
            <w:r>
              <w:rPr>
                <w:rFonts w:ascii="Aptos" w:hAnsi="Aptos"/>
                <w:b w:val="0"/>
                <w:color w:val="243447"/>
                <w:sz w:val="14"/>
              </w:rPr>
              <w:t>Executive Dashboard; Executive Overview; Demand &amp; Time Intelligence; Location Intelligence; Route &amp; Airport Intelligence; Business Opportunities.</w:t>
            </w:r>
          </w:p>
        </w:tc>
        <w:tc>
          <w:tcPr>
            <w:tcW w:w="1999" w:type="dxa"/>
            <w:vAlign w:val="center"/>
          </w:tcPr>
          <w:p w14:paraId="7A495B96">
            <w:pPr>
              <w:spacing w:after="40"/>
            </w:pPr>
            <w:r>
              <w:rPr>
                <w:rFonts w:ascii="Aptos" w:hAnsi="Aptos"/>
                <w:b w:val="0"/>
                <w:color w:val="243447"/>
                <w:sz w:val="14"/>
              </w:rPr>
              <w:t>Core</w:t>
            </w:r>
          </w:p>
        </w:tc>
      </w:tr>
      <w:tr w14:paraId="53B2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4512F3ED">
            <w:pPr>
              <w:spacing w:after="40"/>
            </w:pPr>
            <w:r>
              <w:rPr>
                <w:rFonts w:ascii="Aptos" w:hAnsi="Aptos"/>
                <w:b w:val="0"/>
                <w:color w:val="243447"/>
                <w:sz w:val="14"/>
              </w:rPr>
              <w:t>FR-18</w:t>
            </w:r>
          </w:p>
        </w:tc>
        <w:tc>
          <w:tcPr>
            <w:tcW w:w="1999" w:type="dxa"/>
            <w:shd w:val="clear" w:color="auto" w:fill="F3F6F9"/>
            <w:vAlign w:val="center"/>
          </w:tcPr>
          <w:p w14:paraId="06784DE4">
            <w:pPr>
              <w:spacing w:after="40"/>
            </w:pPr>
            <w:r>
              <w:rPr>
                <w:rFonts w:ascii="Aptos" w:hAnsi="Aptos"/>
                <w:b w:val="0"/>
                <w:color w:val="243447"/>
                <w:sz w:val="14"/>
              </w:rPr>
              <w:t>Metric consistency</w:t>
            </w:r>
          </w:p>
        </w:tc>
        <w:tc>
          <w:tcPr>
            <w:tcW w:w="1999" w:type="dxa"/>
            <w:shd w:val="clear" w:color="auto" w:fill="F3F6F9"/>
            <w:vAlign w:val="center"/>
          </w:tcPr>
          <w:p w14:paraId="3C0A87B8">
            <w:pPr>
              <w:spacing w:after="40"/>
            </w:pPr>
            <w:r>
              <w:rPr>
                <w:rFonts w:ascii="Aptos" w:hAnsi="Aptos"/>
                <w:b w:val="0"/>
                <w:color w:val="243447"/>
                <w:sz w:val="14"/>
              </w:rPr>
              <w:t>Use consistent KPI definitions, labels, units, and caveats.</w:t>
            </w:r>
          </w:p>
        </w:tc>
        <w:tc>
          <w:tcPr>
            <w:tcW w:w="1999" w:type="dxa"/>
            <w:shd w:val="clear" w:color="auto" w:fill="F3F6F9"/>
            <w:vAlign w:val="center"/>
          </w:tcPr>
          <w:p w14:paraId="0845E2DC">
            <w:pPr>
              <w:spacing w:after="40"/>
            </w:pPr>
            <w:r>
              <w:rPr>
                <w:rFonts w:ascii="Aptos" w:hAnsi="Aptos"/>
                <w:b w:val="0"/>
                <w:color w:val="243447"/>
                <w:sz w:val="14"/>
              </w:rPr>
              <w:t>KPI dictionary is definition reference; inspect actual PBIX before sign-off.</w:t>
            </w:r>
          </w:p>
        </w:tc>
        <w:tc>
          <w:tcPr>
            <w:tcW w:w="1999" w:type="dxa"/>
            <w:shd w:val="clear" w:color="auto" w:fill="F3F6F9"/>
            <w:vAlign w:val="center"/>
          </w:tcPr>
          <w:p w14:paraId="624B489D">
            <w:pPr>
              <w:spacing w:after="40"/>
            </w:pPr>
            <w:r>
              <w:rPr>
                <w:rFonts w:ascii="Aptos" w:hAnsi="Aptos"/>
                <w:b w:val="0"/>
                <w:color w:val="243447"/>
                <w:sz w:val="14"/>
              </w:rPr>
              <w:t>Core</w:t>
            </w:r>
          </w:p>
        </w:tc>
      </w:tr>
      <w:tr w14:paraId="3D2F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660C9D8A">
            <w:pPr>
              <w:spacing w:after="40"/>
            </w:pPr>
            <w:r>
              <w:rPr>
                <w:rFonts w:ascii="Aptos" w:hAnsi="Aptos"/>
                <w:b w:val="0"/>
                <w:color w:val="243447"/>
                <w:sz w:val="14"/>
              </w:rPr>
              <w:t>FR-19</w:t>
            </w:r>
          </w:p>
        </w:tc>
        <w:tc>
          <w:tcPr>
            <w:tcW w:w="1999" w:type="dxa"/>
            <w:vAlign w:val="center"/>
          </w:tcPr>
          <w:p w14:paraId="1BD3E7C9">
            <w:pPr>
              <w:spacing w:after="40"/>
            </w:pPr>
            <w:r>
              <w:rPr>
                <w:rFonts w:ascii="Aptos" w:hAnsi="Aptos"/>
                <w:b w:val="0"/>
                <w:color w:val="243447"/>
                <w:sz w:val="14"/>
              </w:rPr>
              <w:t>Quality validation</w:t>
            </w:r>
          </w:p>
        </w:tc>
        <w:tc>
          <w:tcPr>
            <w:tcW w:w="1999" w:type="dxa"/>
            <w:vAlign w:val="center"/>
          </w:tcPr>
          <w:p w14:paraId="43DE933F">
            <w:pPr>
              <w:spacing w:after="40"/>
            </w:pPr>
            <w:r>
              <w:rPr>
                <w:rFonts w:ascii="Aptos" w:hAnsi="Aptos"/>
                <w:b w:val="0"/>
                <w:color w:val="243447"/>
                <w:sz w:val="14"/>
              </w:rPr>
              <w:t>Retain validation queries for counts, coverage, and documented quality rules.</w:t>
            </w:r>
          </w:p>
        </w:tc>
        <w:tc>
          <w:tcPr>
            <w:tcW w:w="1999" w:type="dxa"/>
            <w:vAlign w:val="center"/>
          </w:tcPr>
          <w:p w14:paraId="2132C5E1">
            <w:pPr>
              <w:spacing w:after="40"/>
            </w:pPr>
            <w:r>
              <w:rPr>
                <w:rFonts w:ascii="Aptos" w:hAnsi="Aptos"/>
                <w:b w:val="0"/>
                <w:color w:val="243447"/>
                <w:sz w:val="14"/>
              </w:rPr>
              <w:t>Validation SQL and testing report; statuses require execution evidence.</w:t>
            </w:r>
          </w:p>
        </w:tc>
        <w:tc>
          <w:tcPr>
            <w:tcW w:w="1999" w:type="dxa"/>
            <w:vAlign w:val="center"/>
          </w:tcPr>
          <w:p w14:paraId="34AE0581">
            <w:pPr>
              <w:spacing w:after="40"/>
            </w:pPr>
            <w:r>
              <w:rPr>
                <w:rFonts w:ascii="Aptos" w:hAnsi="Aptos"/>
                <w:b w:val="0"/>
                <w:color w:val="243447"/>
                <w:sz w:val="14"/>
              </w:rPr>
              <w:t>Core</w:t>
            </w:r>
          </w:p>
        </w:tc>
      </w:tr>
      <w:tr w14:paraId="4454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shd w:val="clear" w:color="auto" w:fill="F3F6F9"/>
            <w:vAlign w:val="center"/>
          </w:tcPr>
          <w:p w14:paraId="5FE107EC">
            <w:pPr>
              <w:spacing w:after="40"/>
            </w:pPr>
            <w:r>
              <w:rPr>
                <w:rFonts w:ascii="Aptos" w:hAnsi="Aptos"/>
                <w:b w:val="0"/>
                <w:color w:val="243447"/>
                <w:sz w:val="14"/>
              </w:rPr>
              <w:t>FR-20</w:t>
            </w:r>
          </w:p>
        </w:tc>
        <w:tc>
          <w:tcPr>
            <w:tcW w:w="1999" w:type="dxa"/>
            <w:shd w:val="clear" w:color="auto" w:fill="F3F6F9"/>
            <w:vAlign w:val="center"/>
          </w:tcPr>
          <w:p w14:paraId="5F96A06F">
            <w:pPr>
              <w:spacing w:after="40"/>
            </w:pPr>
            <w:r>
              <w:rPr>
                <w:rFonts w:ascii="Aptos" w:hAnsi="Aptos"/>
                <w:b w:val="0"/>
                <w:color w:val="243447"/>
                <w:sz w:val="14"/>
              </w:rPr>
              <w:t>User guidance</w:t>
            </w:r>
          </w:p>
        </w:tc>
        <w:tc>
          <w:tcPr>
            <w:tcW w:w="1999" w:type="dxa"/>
            <w:shd w:val="clear" w:color="auto" w:fill="F3F6F9"/>
            <w:vAlign w:val="center"/>
          </w:tcPr>
          <w:p w14:paraId="4C52F057">
            <w:pPr>
              <w:spacing w:after="40"/>
            </w:pPr>
            <w:r>
              <w:rPr>
                <w:rFonts w:ascii="Aptos" w:hAnsi="Aptos"/>
                <w:b w:val="0"/>
                <w:color w:val="243447"/>
                <w:sz w:val="14"/>
              </w:rPr>
              <w:t>Explain purpose and interpretation of dashboard areas.</w:t>
            </w:r>
          </w:p>
        </w:tc>
        <w:tc>
          <w:tcPr>
            <w:tcW w:w="1999" w:type="dxa"/>
            <w:shd w:val="clear" w:color="auto" w:fill="F3F6F9"/>
            <w:vAlign w:val="center"/>
          </w:tcPr>
          <w:p w14:paraId="33D13ED2">
            <w:pPr>
              <w:spacing w:after="40"/>
            </w:pPr>
            <w:r>
              <w:rPr>
                <w:rFonts w:ascii="Aptos" w:hAnsi="Aptos"/>
                <w:b w:val="0"/>
                <w:color w:val="243447"/>
                <w:sz w:val="14"/>
              </w:rPr>
              <w:t>Dashboard user guide; avoid claiming unspecified controls.</w:t>
            </w:r>
          </w:p>
        </w:tc>
        <w:tc>
          <w:tcPr>
            <w:tcW w:w="1999" w:type="dxa"/>
            <w:shd w:val="clear" w:color="auto" w:fill="F3F6F9"/>
            <w:vAlign w:val="center"/>
          </w:tcPr>
          <w:p w14:paraId="38037478">
            <w:pPr>
              <w:spacing w:after="40"/>
            </w:pPr>
            <w:r>
              <w:rPr>
                <w:rFonts w:ascii="Aptos" w:hAnsi="Aptos"/>
                <w:b w:val="0"/>
                <w:color w:val="243447"/>
                <w:sz w:val="14"/>
              </w:rPr>
              <w:t>Core</w:t>
            </w:r>
          </w:p>
        </w:tc>
      </w:tr>
      <w:tr w14:paraId="1D41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vAlign w:val="center"/>
          </w:tcPr>
          <w:p w14:paraId="035EC838">
            <w:pPr>
              <w:spacing w:after="40"/>
            </w:pPr>
            <w:r>
              <w:rPr>
                <w:rFonts w:ascii="Aptos" w:hAnsi="Aptos"/>
                <w:b w:val="0"/>
                <w:color w:val="243447"/>
                <w:sz w:val="14"/>
              </w:rPr>
              <w:t>FR-21</w:t>
            </w:r>
          </w:p>
        </w:tc>
        <w:tc>
          <w:tcPr>
            <w:tcW w:w="1999" w:type="dxa"/>
            <w:vAlign w:val="center"/>
          </w:tcPr>
          <w:p w14:paraId="731340DB">
            <w:pPr>
              <w:spacing w:after="40"/>
            </w:pPr>
            <w:r>
              <w:rPr>
                <w:rFonts w:ascii="Aptos" w:hAnsi="Aptos"/>
                <w:b w:val="0"/>
                <w:color w:val="243447"/>
                <w:sz w:val="14"/>
              </w:rPr>
              <w:t>Repository handover</w:t>
            </w:r>
          </w:p>
        </w:tc>
        <w:tc>
          <w:tcPr>
            <w:tcW w:w="1999" w:type="dxa"/>
            <w:vAlign w:val="center"/>
          </w:tcPr>
          <w:p w14:paraId="0DF436D9">
            <w:pPr>
              <w:spacing w:after="40"/>
            </w:pPr>
            <w:r>
              <w:rPr>
                <w:rFonts w:ascii="Aptos" w:hAnsi="Aptos"/>
                <w:b w:val="0"/>
                <w:color w:val="243447"/>
                <w:sz w:val="14"/>
              </w:rPr>
              <w:t>Organize SQL, PBIX, business/data docs, architecture, and validation artifacts.</w:t>
            </w:r>
          </w:p>
        </w:tc>
        <w:tc>
          <w:tcPr>
            <w:tcW w:w="1999" w:type="dxa"/>
            <w:vAlign w:val="center"/>
          </w:tcPr>
          <w:p w14:paraId="5F2A77BE">
            <w:pPr>
              <w:spacing w:after="40"/>
            </w:pPr>
            <w:r>
              <w:rPr>
                <w:rFonts w:ascii="Aptos" w:hAnsi="Aptos"/>
                <w:b w:val="0"/>
                <w:color w:val="243447"/>
                <w:sz w:val="14"/>
              </w:rPr>
              <w:t>README links resolve; exclude secrets and bulk CSV from ordinary Git history.</w:t>
            </w:r>
          </w:p>
        </w:tc>
        <w:tc>
          <w:tcPr>
            <w:tcW w:w="1999" w:type="dxa"/>
            <w:vAlign w:val="center"/>
          </w:tcPr>
          <w:p w14:paraId="001B9787">
            <w:pPr>
              <w:spacing w:after="40"/>
            </w:pPr>
            <w:r>
              <w:rPr>
                <w:rFonts w:ascii="Aptos" w:hAnsi="Aptos"/>
                <w:b w:val="0"/>
                <w:color w:val="243447"/>
                <w:sz w:val="14"/>
              </w:rPr>
              <w:t>Core</w:t>
            </w:r>
          </w:p>
        </w:tc>
      </w:tr>
    </w:tbl>
    <w:p w14:paraId="4A903378">
      <w:pPr>
        <w:spacing w:after="20"/>
      </w:pPr>
    </w:p>
    <w:p w14:paraId="67FDFBFF">
      <w:pPr>
        <w:pStyle w:val="2"/>
      </w:pPr>
      <w:r>
        <w:t>4. Reporting areas and intended behavior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3331"/>
        <w:gridCol w:w="3331"/>
      </w:tblGrid>
      <w:tr w14:paraId="7D15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31" w:type="dxa"/>
            <w:shd w:val="clear" w:color="auto" w:fill="17365D"/>
            <w:vAlign w:val="center"/>
          </w:tcPr>
          <w:p w14:paraId="193797DD">
            <w:pPr>
              <w:spacing w:after="40"/>
            </w:pPr>
            <w:r>
              <w:rPr>
                <w:rFonts w:ascii="Aptos" w:hAnsi="Aptos"/>
                <w:b/>
                <w:color w:val="FFFFFF"/>
                <w:sz w:val="16"/>
              </w:rPr>
              <w:t>Area</w:t>
            </w:r>
          </w:p>
        </w:tc>
        <w:tc>
          <w:tcPr>
            <w:tcW w:w="3331" w:type="dxa"/>
            <w:shd w:val="clear" w:color="auto" w:fill="17365D"/>
            <w:vAlign w:val="center"/>
          </w:tcPr>
          <w:p w14:paraId="57015E11">
            <w:pPr>
              <w:spacing w:after="40"/>
            </w:pPr>
            <w:r>
              <w:rPr>
                <w:rFonts w:ascii="Aptos" w:hAnsi="Aptos"/>
                <w:b/>
                <w:color w:val="FFFFFF"/>
                <w:sz w:val="16"/>
              </w:rPr>
              <w:t>Intended function</w:t>
            </w:r>
          </w:p>
        </w:tc>
        <w:tc>
          <w:tcPr>
            <w:tcW w:w="3331" w:type="dxa"/>
            <w:shd w:val="clear" w:color="auto" w:fill="17365D"/>
            <w:vAlign w:val="center"/>
          </w:tcPr>
          <w:p w14:paraId="61AE83FA">
            <w:pPr>
              <w:spacing w:after="40"/>
            </w:pPr>
            <w:r>
              <w:rPr>
                <w:rFonts w:ascii="Aptos" w:hAnsi="Aptos"/>
                <w:b/>
                <w:color w:val="FFFFFF"/>
                <w:sz w:val="16"/>
              </w:rPr>
              <w:t>Interpretation control</w:t>
            </w:r>
          </w:p>
        </w:tc>
      </w:tr>
      <w:tr w14:paraId="0275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6ECE5DB4">
            <w:pPr>
              <w:spacing w:after="40"/>
            </w:pPr>
            <w:r>
              <w:rPr>
                <w:rFonts w:ascii="Aptos" w:hAnsi="Aptos"/>
                <w:b w:val="0"/>
                <w:color w:val="243447"/>
                <w:sz w:val="16"/>
              </w:rPr>
              <w:t>Executive Dashboard</w:t>
            </w:r>
          </w:p>
        </w:tc>
        <w:tc>
          <w:tcPr>
            <w:tcW w:w="3331" w:type="dxa"/>
            <w:vAlign w:val="center"/>
          </w:tcPr>
          <w:p w14:paraId="7C85003E">
            <w:pPr>
              <w:spacing w:after="40"/>
            </w:pPr>
            <w:r>
              <w:rPr>
                <w:rFonts w:ascii="Aptos" w:hAnsi="Aptos"/>
                <w:b w:val="0"/>
                <w:color w:val="243447"/>
                <w:sz w:val="16"/>
              </w:rPr>
              <w:t>High-level view of headline measures.</w:t>
            </w:r>
          </w:p>
        </w:tc>
        <w:tc>
          <w:tcPr>
            <w:tcW w:w="3331" w:type="dxa"/>
            <w:vAlign w:val="center"/>
          </w:tcPr>
          <w:p w14:paraId="45D6440A">
            <w:pPr>
              <w:spacing w:after="40"/>
            </w:pPr>
            <w:r>
              <w:rPr>
                <w:rFonts w:ascii="Aptos" w:hAnsi="Aptos"/>
                <w:b w:val="0"/>
                <w:color w:val="243447"/>
                <w:sz w:val="16"/>
              </w:rPr>
              <w:t>Keep reporting population and 27-day coverage visible.</w:t>
            </w:r>
          </w:p>
        </w:tc>
      </w:tr>
      <w:tr w14:paraId="130B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0CA5CBD9">
            <w:pPr>
              <w:spacing w:after="40"/>
            </w:pPr>
            <w:r>
              <w:rPr>
                <w:rFonts w:ascii="Aptos" w:hAnsi="Aptos"/>
                <w:b w:val="0"/>
                <w:color w:val="243447"/>
                <w:sz w:val="16"/>
              </w:rPr>
              <w:t>Executive Overview</w:t>
            </w:r>
          </w:p>
        </w:tc>
        <w:tc>
          <w:tcPr>
            <w:tcW w:w="3331" w:type="dxa"/>
            <w:shd w:val="clear" w:color="auto" w:fill="F3F6F9"/>
            <w:vAlign w:val="center"/>
          </w:tcPr>
          <w:p w14:paraId="03184D69">
            <w:pPr>
              <w:spacing w:after="40"/>
            </w:pPr>
            <w:r>
              <w:rPr>
                <w:rFonts w:ascii="Aptos" w:hAnsi="Aptos"/>
                <w:b w:val="0"/>
                <w:color w:val="243447"/>
                <w:sz w:val="16"/>
              </w:rPr>
              <w:t>Summarize principal findings and caveats.</w:t>
            </w:r>
          </w:p>
        </w:tc>
        <w:tc>
          <w:tcPr>
            <w:tcW w:w="3331" w:type="dxa"/>
            <w:shd w:val="clear" w:color="auto" w:fill="F3F6F9"/>
            <w:vAlign w:val="center"/>
          </w:tcPr>
          <w:p w14:paraId="0F640906">
            <w:pPr>
              <w:spacing w:after="40"/>
            </w:pPr>
            <w:r>
              <w:rPr>
                <w:rFonts w:ascii="Aptos" w:hAnsi="Aptos"/>
                <w:b w:val="0"/>
                <w:color w:val="243447"/>
                <w:sz w:val="16"/>
              </w:rPr>
              <w:t>Use values consistent with executive summary.</w:t>
            </w:r>
          </w:p>
        </w:tc>
      </w:tr>
      <w:tr w14:paraId="3EE9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52128EF4">
            <w:pPr>
              <w:spacing w:after="40"/>
            </w:pPr>
            <w:r>
              <w:rPr>
                <w:rFonts w:ascii="Aptos" w:hAnsi="Aptos"/>
                <w:b w:val="0"/>
                <w:color w:val="243447"/>
                <w:sz w:val="16"/>
              </w:rPr>
              <w:t>Demand &amp; Time Intelligence</w:t>
            </w:r>
          </w:p>
        </w:tc>
        <w:tc>
          <w:tcPr>
            <w:tcW w:w="3331" w:type="dxa"/>
            <w:vAlign w:val="center"/>
          </w:tcPr>
          <w:p w14:paraId="423A88FE">
            <w:pPr>
              <w:spacing w:after="40"/>
            </w:pPr>
            <w:r>
              <w:rPr>
                <w:rFonts w:ascii="Aptos" w:hAnsi="Aptos"/>
                <w:b w:val="0"/>
                <w:color w:val="243447"/>
                <w:sz w:val="16"/>
              </w:rPr>
              <w:t>Explore activity across time dimensions.</w:t>
            </w:r>
          </w:p>
        </w:tc>
        <w:tc>
          <w:tcPr>
            <w:tcW w:w="3331" w:type="dxa"/>
            <w:vAlign w:val="center"/>
          </w:tcPr>
          <w:p w14:paraId="65DEB11B">
            <w:pPr>
              <w:spacing w:after="40"/>
            </w:pPr>
            <w:r>
              <w:rPr>
                <w:rFonts w:ascii="Aptos" w:hAnsi="Aptos"/>
                <w:b w:val="0"/>
                <w:color w:val="243447"/>
                <w:sz w:val="16"/>
              </w:rPr>
              <w:t>Do not treat missing February 23 business rows as a normal zero-demand day.</w:t>
            </w:r>
          </w:p>
        </w:tc>
      </w:tr>
      <w:tr w14:paraId="7F3E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2CE7B277">
            <w:pPr>
              <w:spacing w:after="40"/>
            </w:pPr>
            <w:r>
              <w:rPr>
                <w:rFonts w:ascii="Aptos" w:hAnsi="Aptos"/>
                <w:b w:val="0"/>
                <w:color w:val="243447"/>
                <w:sz w:val="16"/>
              </w:rPr>
              <w:t>Location Intelligence</w:t>
            </w:r>
          </w:p>
        </w:tc>
        <w:tc>
          <w:tcPr>
            <w:tcW w:w="3331" w:type="dxa"/>
            <w:shd w:val="clear" w:color="auto" w:fill="F3F6F9"/>
            <w:vAlign w:val="center"/>
          </w:tcPr>
          <w:p w14:paraId="77EC9D61">
            <w:pPr>
              <w:spacing w:after="40"/>
            </w:pPr>
            <w:r>
              <w:rPr>
                <w:rFonts w:ascii="Aptos" w:hAnsi="Aptos"/>
                <w:b w:val="0"/>
                <w:color w:val="243447"/>
                <w:sz w:val="16"/>
              </w:rPr>
              <w:t>Compare pickup-location patterns.</w:t>
            </w:r>
          </w:p>
        </w:tc>
        <w:tc>
          <w:tcPr>
            <w:tcW w:w="3331" w:type="dxa"/>
            <w:shd w:val="clear" w:color="auto" w:fill="F3F6F9"/>
            <w:vAlign w:val="center"/>
          </w:tcPr>
          <w:p w14:paraId="02CECD42">
            <w:pPr>
              <w:spacing w:after="40"/>
            </w:pPr>
            <w:r>
              <w:rPr>
                <w:rFonts w:ascii="Aptos" w:hAnsi="Aptos"/>
                <w:b w:val="0"/>
                <w:color w:val="243447"/>
                <w:sz w:val="16"/>
              </w:rPr>
              <w:t>Identify pickup geography and metric being compared.</w:t>
            </w:r>
          </w:p>
        </w:tc>
      </w:tr>
      <w:tr w14:paraId="4DA2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0737042B">
            <w:pPr>
              <w:spacing w:after="40"/>
            </w:pPr>
            <w:r>
              <w:rPr>
                <w:rFonts w:ascii="Aptos" w:hAnsi="Aptos"/>
                <w:b w:val="0"/>
                <w:color w:val="243447"/>
                <w:sz w:val="16"/>
              </w:rPr>
              <w:t>Route &amp; Airport Intelligence</w:t>
            </w:r>
          </w:p>
        </w:tc>
        <w:tc>
          <w:tcPr>
            <w:tcW w:w="3331" w:type="dxa"/>
            <w:vAlign w:val="center"/>
          </w:tcPr>
          <w:p w14:paraId="4FAD97EE">
            <w:pPr>
              <w:spacing w:after="40"/>
            </w:pPr>
            <w:r>
              <w:rPr>
                <w:rFonts w:ascii="Aptos" w:hAnsi="Aptos"/>
                <w:b w:val="0"/>
                <w:color w:val="243447"/>
                <w:sz w:val="16"/>
              </w:rPr>
              <w:t>Examine route-directionality and airport pickup patterns.</w:t>
            </w:r>
          </w:p>
        </w:tc>
        <w:tc>
          <w:tcPr>
            <w:tcW w:w="3331" w:type="dxa"/>
            <w:vAlign w:val="center"/>
          </w:tcPr>
          <w:p w14:paraId="2A042B4F">
            <w:pPr>
              <w:spacing w:after="40"/>
            </w:pPr>
            <w:r>
              <w:rPr>
                <w:rFonts w:ascii="Aptos" w:hAnsi="Aptos"/>
                <w:b w:val="0"/>
                <w:color w:val="243447"/>
                <w:sz w:val="16"/>
              </w:rPr>
              <w:t>Do not infer causation, profit, or recoverable revenue from descriptive differences.</w:t>
            </w:r>
          </w:p>
        </w:tc>
      </w:tr>
      <w:tr w14:paraId="7634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2633BEA0">
            <w:pPr>
              <w:spacing w:after="40"/>
            </w:pPr>
            <w:r>
              <w:rPr>
                <w:rFonts w:ascii="Aptos" w:hAnsi="Aptos"/>
                <w:b w:val="0"/>
                <w:color w:val="243447"/>
                <w:sz w:val="16"/>
              </w:rPr>
              <w:t>Business Opportunities</w:t>
            </w:r>
          </w:p>
        </w:tc>
        <w:tc>
          <w:tcPr>
            <w:tcW w:w="3331" w:type="dxa"/>
            <w:shd w:val="clear" w:color="auto" w:fill="F3F6F9"/>
            <w:vAlign w:val="center"/>
          </w:tcPr>
          <w:p w14:paraId="2168CDF6">
            <w:pPr>
              <w:spacing w:after="40"/>
            </w:pPr>
            <w:r>
              <w:rPr>
                <w:rFonts w:ascii="Aptos" w:hAnsi="Aptos"/>
                <w:b w:val="0"/>
                <w:color w:val="243447"/>
                <w:sz w:val="16"/>
              </w:rPr>
              <w:t>Present follow-up areas and scenario sensitivity.</w:t>
            </w:r>
          </w:p>
        </w:tc>
        <w:tc>
          <w:tcPr>
            <w:tcW w:w="3331" w:type="dxa"/>
            <w:shd w:val="clear" w:color="auto" w:fill="F3F6F9"/>
            <w:vAlign w:val="center"/>
          </w:tcPr>
          <w:p w14:paraId="01DE63A8">
            <w:pPr>
              <w:spacing w:after="40"/>
            </w:pPr>
            <w:r>
              <w:rPr>
                <w:rFonts w:ascii="Aptos" w:hAnsi="Aptos"/>
                <w:b w:val="0"/>
                <w:color w:val="243447"/>
                <w:sz w:val="16"/>
              </w:rPr>
              <w:t>Label scenarios illustrative and recommendations as hypotheses to test.</w:t>
            </w:r>
          </w:p>
        </w:tc>
      </w:tr>
    </w:tbl>
    <w:p w14:paraId="3A074612">
      <w:pPr>
        <w:spacing w:after="20"/>
      </w:pPr>
    </w:p>
    <w:p w14:paraId="1042C249">
      <w:pPr>
        <w:pStyle w:val="2"/>
      </w:pPr>
      <w:r>
        <w:t>5. Data and KPI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3331"/>
        <w:gridCol w:w="3331"/>
      </w:tblGrid>
      <w:tr w14:paraId="4953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31" w:type="dxa"/>
            <w:shd w:val="clear" w:color="auto" w:fill="17365D"/>
            <w:vAlign w:val="center"/>
          </w:tcPr>
          <w:p w14:paraId="5369F551">
            <w:pPr>
              <w:spacing w:after="40"/>
            </w:pPr>
            <w:r>
              <w:rPr>
                <w:rFonts w:ascii="Aptos" w:hAnsi="Aptos"/>
                <w:b/>
                <w:color w:val="FFFFFF"/>
                <w:sz w:val="16"/>
              </w:rPr>
              <w:t>Rule</w:t>
            </w:r>
          </w:p>
        </w:tc>
        <w:tc>
          <w:tcPr>
            <w:tcW w:w="3331" w:type="dxa"/>
            <w:shd w:val="clear" w:color="auto" w:fill="17365D"/>
            <w:vAlign w:val="center"/>
          </w:tcPr>
          <w:p w14:paraId="158A2042">
            <w:pPr>
              <w:spacing w:after="40"/>
            </w:pPr>
            <w:r>
              <w:rPr>
                <w:rFonts w:ascii="Aptos" w:hAnsi="Aptos"/>
                <w:b/>
                <w:color w:val="FFFFFF"/>
                <w:sz w:val="16"/>
              </w:rPr>
              <w:t>Requirement</w:t>
            </w:r>
          </w:p>
        </w:tc>
        <w:tc>
          <w:tcPr>
            <w:tcW w:w="3331" w:type="dxa"/>
            <w:shd w:val="clear" w:color="auto" w:fill="17365D"/>
            <w:vAlign w:val="center"/>
          </w:tcPr>
          <w:p w14:paraId="3C2BBC24">
            <w:pPr>
              <w:spacing w:after="40"/>
            </w:pPr>
            <w:r>
              <w:rPr>
                <w:rFonts w:ascii="Aptos" w:hAnsi="Aptos"/>
                <w:b/>
                <w:color w:val="FFFFFF"/>
                <w:sz w:val="16"/>
              </w:rPr>
              <w:t>Required handling</w:t>
            </w:r>
          </w:p>
        </w:tc>
      </w:tr>
      <w:tr w14:paraId="21DC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28F5B328">
            <w:pPr>
              <w:spacing w:after="40"/>
            </w:pPr>
            <w:r>
              <w:rPr>
                <w:rFonts w:ascii="Aptos" w:hAnsi="Aptos"/>
                <w:b w:val="0"/>
                <w:color w:val="243447"/>
                <w:sz w:val="16"/>
              </w:rPr>
              <w:t>DATA-01</w:t>
            </w:r>
          </w:p>
        </w:tc>
        <w:tc>
          <w:tcPr>
            <w:tcW w:w="3331" w:type="dxa"/>
            <w:vAlign w:val="center"/>
          </w:tcPr>
          <w:p w14:paraId="5E562E69">
            <w:pPr>
              <w:spacing w:after="40"/>
            </w:pPr>
            <w:r>
              <w:rPr>
                <w:rFonts w:ascii="Aptos" w:hAnsi="Aptos"/>
                <w:b w:val="0"/>
                <w:color w:val="243447"/>
                <w:sz w:val="16"/>
              </w:rPr>
              <w:t>Use business-analysis population for documented headline KPIs.</w:t>
            </w:r>
          </w:p>
        </w:tc>
        <w:tc>
          <w:tcPr>
            <w:tcW w:w="3331" w:type="dxa"/>
            <w:vAlign w:val="center"/>
          </w:tcPr>
          <w:p w14:paraId="19ABA42F">
            <w:pPr>
              <w:spacing w:after="40"/>
            </w:pPr>
            <w:r>
              <w:rPr>
                <w:rFonts w:ascii="Aptos" w:hAnsi="Aptos"/>
                <w:b w:val="0"/>
                <w:color w:val="243447"/>
                <w:sz w:val="16"/>
              </w:rPr>
              <w:t>State population and use same population for comparisons.</w:t>
            </w:r>
          </w:p>
        </w:tc>
      </w:tr>
      <w:tr w14:paraId="6D4D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6346FE59">
            <w:pPr>
              <w:spacing w:after="40"/>
            </w:pPr>
            <w:r>
              <w:rPr>
                <w:rFonts w:ascii="Aptos" w:hAnsi="Aptos"/>
                <w:b w:val="0"/>
                <w:color w:val="243447"/>
                <w:sz w:val="16"/>
              </w:rPr>
              <w:t>DATA-02</w:t>
            </w:r>
          </w:p>
        </w:tc>
        <w:tc>
          <w:tcPr>
            <w:tcW w:w="3331" w:type="dxa"/>
            <w:shd w:val="clear" w:color="auto" w:fill="F3F6F9"/>
            <w:vAlign w:val="center"/>
          </w:tcPr>
          <w:p w14:paraId="03E9CAD4">
            <w:pPr>
              <w:spacing w:after="40"/>
            </w:pPr>
            <w:r>
              <w:rPr>
                <w:rFonts w:ascii="Aptos" w:hAnsi="Aptos"/>
                <w:b w:val="0"/>
                <w:color w:val="243447"/>
                <w:sz w:val="16"/>
              </w:rPr>
              <w:t>Retain stage row-count reconciliation.</w:t>
            </w:r>
          </w:p>
        </w:tc>
        <w:tc>
          <w:tcPr>
            <w:tcW w:w="3331" w:type="dxa"/>
            <w:shd w:val="clear" w:color="auto" w:fill="F3F6F9"/>
            <w:vAlign w:val="center"/>
          </w:tcPr>
          <w:p w14:paraId="329F0C1F">
            <w:pPr>
              <w:spacing w:after="40"/>
            </w:pPr>
            <w:r>
              <w:rPr>
                <w:rFonts w:ascii="Aptos" w:hAnsi="Aptos"/>
                <w:b w:val="0"/>
                <w:color w:val="243447"/>
                <w:sz w:val="16"/>
              </w:rPr>
              <w:t>A reduction is not automatically an error count.</w:t>
            </w:r>
          </w:p>
        </w:tc>
      </w:tr>
      <w:tr w14:paraId="030D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3E7E09A0">
            <w:pPr>
              <w:spacing w:after="40"/>
            </w:pPr>
            <w:r>
              <w:rPr>
                <w:rFonts w:ascii="Aptos" w:hAnsi="Aptos"/>
                <w:b w:val="0"/>
                <w:color w:val="243447"/>
                <w:sz w:val="16"/>
              </w:rPr>
              <w:t>DATA-03</w:t>
            </w:r>
          </w:p>
        </w:tc>
        <w:tc>
          <w:tcPr>
            <w:tcW w:w="3331" w:type="dxa"/>
            <w:vAlign w:val="center"/>
          </w:tcPr>
          <w:p w14:paraId="5F55FF6F">
            <w:pPr>
              <w:spacing w:after="40"/>
            </w:pPr>
            <w:r>
              <w:rPr>
                <w:rFonts w:ascii="Aptos" w:hAnsi="Aptos"/>
                <w:b w:val="0"/>
                <w:color w:val="243447"/>
                <w:sz w:val="16"/>
              </w:rPr>
              <w:t>Vendor 7 identical-timestamp handling.</w:t>
            </w:r>
          </w:p>
        </w:tc>
        <w:tc>
          <w:tcPr>
            <w:tcW w:w="3331" w:type="dxa"/>
            <w:vAlign w:val="center"/>
          </w:tcPr>
          <w:p w14:paraId="488007A8">
            <w:pPr>
              <w:spacing w:after="40"/>
            </w:pPr>
            <w:r>
              <w:rPr>
                <w:rFonts w:ascii="Aptos" w:hAnsi="Aptos"/>
                <w:b w:val="0"/>
                <w:color w:val="243447"/>
                <w:sz w:val="16"/>
              </w:rPr>
              <w:t>Use exact SQL predicate; timestamp equality alone does not prove duplicate identity.</w:t>
            </w:r>
          </w:p>
        </w:tc>
      </w:tr>
      <w:tr w14:paraId="209E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18B7AF72">
            <w:pPr>
              <w:spacing w:after="40"/>
            </w:pPr>
            <w:r>
              <w:rPr>
                <w:rFonts w:ascii="Aptos" w:hAnsi="Aptos"/>
                <w:b w:val="0"/>
                <w:color w:val="243447"/>
                <w:sz w:val="16"/>
              </w:rPr>
              <w:t>DATA-04</w:t>
            </w:r>
          </w:p>
        </w:tc>
        <w:tc>
          <w:tcPr>
            <w:tcW w:w="3331" w:type="dxa"/>
            <w:shd w:val="clear" w:color="auto" w:fill="F3F6F9"/>
            <w:vAlign w:val="center"/>
          </w:tcPr>
          <w:p w14:paraId="05C9859C">
            <w:pPr>
              <w:spacing w:after="40"/>
            </w:pPr>
            <w:r>
              <w:rPr>
                <w:rFonts w:ascii="Aptos" w:hAnsi="Aptos"/>
                <w:b w:val="0"/>
                <w:color w:val="243447"/>
                <w:sz w:val="16"/>
              </w:rPr>
              <w:t>Negative duration handling.</w:t>
            </w:r>
          </w:p>
        </w:tc>
        <w:tc>
          <w:tcPr>
            <w:tcW w:w="3331" w:type="dxa"/>
            <w:shd w:val="clear" w:color="auto" w:fill="F3F6F9"/>
            <w:vAlign w:val="center"/>
          </w:tcPr>
          <w:p w14:paraId="727B5BB8">
            <w:pPr>
              <w:spacing w:after="40"/>
            </w:pPr>
            <w:r>
              <w:rPr>
                <w:rFonts w:ascii="Aptos" w:hAnsi="Aptos"/>
                <w:b w:val="0"/>
                <w:color w:val="243447"/>
                <w:sz w:val="16"/>
              </w:rPr>
              <w:t>Project notes record two records; implemented expression is authoritative.</w:t>
            </w:r>
          </w:p>
        </w:tc>
      </w:tr>
      <w:tr w14:paraId="01C3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75F6A0D2">
            <w:pPr>
              <w:spacing w:after="40"/>
            </w:pPr>
            <w:r>
              <w:rPr>
                <w:rFonts w:ascii="Aptos" w:hAnsi="Aptos"/>
                <w:b w:val="0"/>
                <w:color w:val="243447"/>
                <w:sz w:val="16"/>
              </w:rPr>
              <w:t>DATA-05</w:t>
            </w:r>
          </w:p>
        </w:tc>
        <w:tc>
          <w:tcPr>
            <w:tcW w:w="3331" w:type="dxa"/>
            <w:vAlign w:val="center"/>
          </w:tcPr>
          <w:p w14:paraId="7328CF79">
            <w:pPr>
              <w:spacing w:after="40"/>
            </w:pPr>
            <w:r>
              <w:rPr>
                <w:rFonts w:ascii="Aptos" w:hAnsi="Aptos"/>
                <w:b w:val="0"/>
                <w:color w:val="243447"/>
                <w:sz w:val="16"/>
              </w:rPr>
              <w:t>Duration &gt;120 minutes.</w:t>
            </w:r>
          </w:p>
        </w:tc>
        <w:tc>
          <w:tcPr>
            <w:tcW w:w="3331" w:type="dxa"/>
            <w:vAlign w:val="center"/>
          </w:tcPr>
          <w:p w14:paraId="52F73503">
            <w:pPr>
              <w:spacing w:after="40"/>
            </w:pPr>
            <w:r>
              <w:rPr>
                <w:rFonts w:ascii="Aptos" w:hAnsi="Aptos"/>
                <w:b w:val="0"/>
                <w:color w:val="243447"/>
                <w:sz w:val="16"/>
              </w:rPr>
              <w:t>Project-specific filter; documented count 3,962.</w:t>
            </w:r>
          </w:p>
        </w:tc>
      </w:tr>
      <w:tr w14:paraId="41B6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194DDC61">
            <w:pPr>
              <w:spacing w:after="40"/>
            </w:pPr>
            <w:r>
              <w:rPr>
                <w:rFonts w:ascii="Aptos" w:hAnsi="Aptos"/>
                <w:b w:val="0"/>
                <w:color w:val="243447"/>
                <w:sz w:val="16"/>
              </w:rPr>
              <w:t>DATA-06</w:t>
            </w:r>
          </w:p>
        </w:tc>
        <w:tc>
          <w:tcPr>
            <w:tcW w:w="3331" w:type="dxa"/>
            <w:shd w:val="clear" w:color="auto" w:fill="F3F6F9"/>
            <w:vAlign w:val="center"/>
          </w:tcPr>
          <w:p w14:paraId="327325C6">
            <w:pPr>
              <w:spacing w:after="40"/>
            </w:pPr>
            <w:r>
              <w:rPr>
                <w:rFonts w:ascii="Aptos" w:hAnsi="Aptos"/>
                <w:b w:val="0"/>
                <w:color w:val="243447"/>
                <w:sz w:val="16"/>
              </w:rPr>
              <w:t>February 23 coverage.</w:t>
            </w:r>
          </w:p>
        </w:tc>
        <w:tc>
          <w:tcPr>
            <w:tcW w:w="3331" w:type="dxa"/>
            <w:shd w:val="clear" w:color="auto" w:fill="F3F6F9"/>
            <w:vAlign w:val="center"/>
          </w:tcPr>
          <w:p w14:paraId="46D7CCC5">
            <w:pPr>
              <w:spacing w:after="40"/>
            </w:pPr>
            <w:r>
              <w:rPr>
                <w:rFonts w:ascii="Aptos" w:hAnsi="Aptos"/>
                <w:b w:val="0"/>
                <w:color w:val="243447"/>
                <w:sz w:val="16"/>
              </w:rPr>
              <w:t>Disclose no business-table rows; root cause unresolved.</w:t>
            </w:r>
          </w:p>
        </w:tc>
      </w:tr>
      <w:tr w14:paraId="3DCF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47BAAD78">
            <w:pPr>
              <w:spacing w:after="40"/>
            </w:pPr>
            <w:r>
              <w:rPr>
                <w:rFonts w:ascii="Aptos" w:hAnsi="Aptos"/>
                <w:b w:val="0"/>
                <w:color w:val="243447"/>
                <w:sz w:val="16"/>
              </w:rPr>
              <w:t>DATA-07</w:t>
            </w:r>
          </w:p>
        </w:tc>
        <w:tc>
          <w:tcPr>
            <w:tcW w:w="3331" w:type="dxa"/>
            <w:vAlign w:val="center"/>
          </w:tcPr>
          <w:p w14:paraId="1A20D855">
            <w:pPr>
              <w:spacing w:after="40"/>
            </w:pPr>
            <w:r>
              <w:rPr>
                <w:rFonts w:ascii="Aptos" w:hAnsi="Aptos"/>
                <w:b w:val="0"/>
                <w:color w:val="243447"/>
                <w:sz w:val="16"/>
              </w:rPr>
              <w:t>Airport metric scope.</w:t>
            </w:r>
          </w:p>
        </w:tc>
        <w:tc>
          <w:tcPr>
            <w:tcW w:w="3331" w:type="dxa"/>
            <w:vAlign w:val="center"/>
          </w:tcPr>
          <w:p w14:paraId="01B8CCD4">
            <w:pPr>
              <w:spacing w:after="40"/>
            </w:pPr>
            <w:r>
              <w:rPr>
                <w:rFonts w:ascii="Aptos" w:hAnsi="Aptos"/>
                <w:b w:val="0"/>
                <w:color w:val="243447"/>
                <w:sz w:val="16"/>
              </w:rPr>
              <w:t>Label JFK and LaGuardia amount as pickup-zone amount when appropriate.</w:t>
            </w:r>
          </w:p>
        </w:tc>
      </w:tr>
      <w:tr w14:paraId="4C59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3A70E699">
            <w:pPr>
              <w:spacing w:after="40"/>
            </w:pPr>
            <w:r>
              <w:rPr>
                <w:rFonts w:ascii="Aptos" w:hAnsi="Aptos"/>
                <w:b w:val="0"/>
                <w:color w:val="243447"/>
                <w:sz w:val="16"/>
              </w:rPr>
              <w:t>DATA-08</w:t>
            </w:r>
          </w:p>
        </w:tc>
        <w:tc>
          <w:tcPr>
            <w:tcW w:w="3331" w:type="dxa"/>
            <w:shd w:val="clear" w:color="auto" w:fill="F3F6F9"/>
            <w:vAlign w:val="center"/>
          </w:tcPr>
          <w:p w14:paraId="38BB2B93">
            <w:pPr>
              <w:spacing w:after="40"/>
            </w:pPr>
            <w:r>
              <w:rPr>
                <w:rFonts w:ascii="Aptos" w:hAnsi="Aptos"/>
                <w:b w:val="0"/>
                <w:color w:val="243447"/>
                <w:sz w:val="16"/>
              </w:rPr>
              <w:t>Scenario interpretation.</w:t>
            </w:r>
          </w:p>
        </w:tc>
        <w:tc>
          <w:tcPr>
            <w:tcW w:w="3331" w:type="dxa"/>
            <w:shd w:val="clear" w:color="auto" w:fill="F3F6F9"/>
            <w:vAlign w:val="center"/>
          </w:tcPr>
          <w:p w14:paraId="7576AC64">
            <w:pPr>
              <w:spacing w:after="40"/>
            </w:pPr>
            <w:r>
              <w:rPr>
                <w:rFonts w:ascii="Aptos" w:hAnsi="Aptos"/>
                <w:b w:val="0"/>
                <w:color w:val="243447"/>
                <w:sz w:val="16"/>
              </w:rPr>
              <w:t>Do not describe as realized savings, profit, recovered revenue, or forecast.</w:t>
            </w:r>
          </w:p>
        </w:tc>
      </w:tr>
      <w:tr w14:paraId="5C0D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45696FC5">
            <w:pPr>
              <w:spacing w:after="40"/>
            </w:pPr>
            <w:r>
              <w:rPr>
                <w:rFonts w:ascii="Aptos" w:hAnsi="Aptos"/>
                <w:b w:val="0"/>
                <w:color w:val="243447"/>
                <w:sz w:val="16"/>
              </w:rPr>
              <w:t>DATA-09</w:t>
            </w:r>
          </w:p>
        </w:tc>
        <w:tc>
          <w:tcPr>
            <w:tcW w:w="3331" w:type="dxa"/>
            <w:vAlign w:val="center"/>
          </w:tcPr>
          <w:p w14:paraId="4CC4E875">
            <w:pPr>
              <w:spacing w:after="40"/>
            </w:pPr>
            <w:r>
              <w:rPr>
                <w:rFonts w:ascii="Aptos" w:hAnsi="Aptos"/>
                <w:b w:val="0"/>
                <w:color w:val="243447"/>
                <w:sz w:val="16"/>
              </w:rPr>
              <w:t>Financial terminology.</w:t>
            </w:r>
          </w:p>
        </w:tc>
        <w:tc>
          <w:tcPr>
            <w:tcW w:w="3331" w:type="dxa"/>
            <w:vAlign w:val="center"/>
          </w:tcPr>
          <w:p w14:paraId="4CAA9DD9">
            <w:pPr>
              <w:spacing w:after="40"/>
            </w:pPr>
            <w:r>
              <w:rPr>
                <w:rFonts w:ascii="Aptos" w:hAnsi="Aptos"/>
                <w:b w:val="0"/>
                <w:color w:val="243447"/>
                <w:sz w:val="16"/>
              </w:rPr>
              <w:t>Use “recorded total amount” unless another business definition is supported.</w:t>
            </w:r>
          </w:p>
        </w:tc>
      </w:tr>
    </w:tbl>
    <w:p w14:paraId="27155085">
      <w:pPr>
        <w:spacing w:after="20"/>
      </w:pPr>
    </w:p>
    <w:p w14:paraId="7DEB2F13">
      <w:pPr>
        <w:pStyle w:val="2"/>
      </w:pPr>
      <w:r>
        <w:t>6. Non-functional expectations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3331"/>
        <w:gridCol w:w="3331"/>
      </w:tblGrid>
      <w:tr w14:paraId="485C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31" w:type="dxa"/>
            <w:shd w:val="clear" w:color="auto" w:fill="17365D"/>
            <w:vAlign w:val="center"/>
          </w:tcPr>
          <w:p w14:paraId="626D1511">
            <w:pPr>
              <w:spacing w:after="40"/>
            </w:pPr>
            <w:r>
              <w:rPr>
                <w:rFonts w:ascii="Aptos" w:hAnsi="Aptos"/>
                <w:b/>
                <w:color w:val="FFFFFF"/>
                <w:sz w:val="16"/>
              </w:rPr>
              <w:t>ID</w:t>
            </w:r>
          </w:p>
        </w:tc>
        <w:tc>
          <w:tcPr>
            <w:tcW w:w="3331" w:type="dxa"/>
            <w:shd w:val="clear" w:color="auto" w:fill="17365D"/>
            <w:vAlign w:val="center"/>
          </w:tcPr>
          <w:p w14:paraId="79A0F95C">
            <w:pPr>
              <w:spacing w:after="40"/>
            </w:pPr>
            <w:r>
              <w:rPr>
                <w:rFonts w:ascii="Aptos" w:hAnsi="Aptos"/>
                <w:b/>
                <w:color w:val="FFFFFF"/>
                <w:sz w:val="16"/>
              </w:rPr>
              <w:t>Expectation</w:t>
            </w:r>
          </w:p>
        </w:tc>
        <w:tc>
          <w:tcPr>
            <w:tcW w:w="3331" w:type="dxa"/>
            <w:shd w:val="clear" w:color="auto" w:fill="17365D"/>
            <w:vAlign w:val="center"/>
          </w:tcPr>
          <w:p w14:paraId="2A1D8EFF">
            <w:pPr>
              <w:spacing w:after="40"/>
            </w:pPr>
            <w:r>
              <w:rPr>
                <w:rFonts w:ascii="Aptos" w:hAnsi="Aptos"/>
                <w:b/>
                <w:color w:val="FFFFFF"/>
                <w:sz w:val="16"/>
              </w:rPr>
              <w:t>Verification approach</w:t>
            </w:r>
          </w:p>
        </w:tc>
      </w:tr>
      <w:tr w14:paraId="1363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3A8FFB2A">
            <w:pPr>
              <w:spacing w:after="40"/>
            </w:pPr>
            <w:r>
              <w:rPr>
                <w:rFonts w:ascii="Aptos" w:hAnsi="Aptos"/>
                <w:b w:val="0"/>
                <w:color w:val="243447"/>
                <w:sz w:val="16"/>
              </w:rPr>
              <w:t>NFR-01</w:t>
            </w:r>
          </w:p>
        </w:tc>
        <w:tc>
          <w:tcPr>
            <w:tcW w:w="3331" w:type="dxa"/>
            <w:vAlign w:val="center"/>
          </w:tcPr>
          <w:p w14:paraId="40977E4C">
            <w:pPr>
              <w:spacing w:after="40"/>
            </w:pPr>
            <w:r>
              <w:rPr>
                <w:rFonts w:ascii="Aptos" w:hAnsi="Aptos"/>
                <w:b w:val="0"/>
                <w:color w:val="243447"/>
                <w:sz w:val="16"/>
              </w:rPr>
              <w:t>Traceability: major claims and metrics should map to SQL or identified project evidence.</w:t>
            </w:r>
          </w:p>
        </w:tc>
        <w:tc>
          <w:tcPr>
            <w:tcW w:w="3331" w:type="dxa"/>
            <w:vAlign w:val="center"/>
          </w:tcPr>
          <w:p w14:paraId="517C5854">
            <w:pPr>
              <w:spacing w:after="40"/>
            </w:pPr>
            <w:r>
              <w:rPr>
                <w:rFonts w:ascii="Aptos" w:hAnsi="Aptos"/>
                <w:b w:val="0"/>
                <w:color w:val="243447"/>
                <w:sz w:val="16"/>
              </w:rPr>
              <w:t>Link requirement/test IDs to evidence locations.</w:t>
            </w:r>
          </w:p>
        </w:tc>
      </w:tr>
      <w:tr w14:paraId="0EBB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77F6C712">
            <w:pPr>
              <w:spacing w:after="40"/>
            </w:pPr>
            <w:r>
              <w:rPr>
                <w:rFonts w:ascii="Aptos" w:hAnsi="Aptos"/>
                <w:b w:val="0"/>
                <w:color w:val="243447"/>
                <w:sz w:val="16"/>
              </w:rPr>
              <w:t>NFR-02</w:t>
            </w:r>
          </w:p>
        </w:tc>
        <w:tc>
          <w:tcPr>
            <w:tcW w:w="3331" w:type="dxa"/>
            <w:shd w:val="clear" w:color="auto" w:fill="F3F6F9"/>
            <w:vAlign w:val="center"/>
          </w:tcPr>
          <w:p w14:paraId="0B25ACFB">
            <w:pPr>
              <w:spacing w:after="40"/>
            </w:pPr>
            <w:r>
              <w:rPr>
                <w:rFonts w:ascii="Aptos" w:hAnsi="Aptos"/>
                <w:b w:val="0"/>
                <w:color w:val="243447"/>
                <w:sz w:val="16"/>
              </w:rPr>
              <w:t>Consistency: dates, units, names, and KPI formulas align across deliverables.</w:t>
            </w:r>
          </w:p>
        </w:tc>
        <w:tc>
          <w:tcPr>
            <w:tcW w:w="3331" w:type="dxa"/>
            <w:shd w:val="clear" w:color="auto" w:fill="F3F6F9"/>
            <w:vAlign w:val="center"/>
          </w:tcPr>
          <w:p w14:paraId="097F9229">
            <w:pPr>
              <w:spacing w:after="40"/>
            </w:pPr>
            <w:r>
              <w:rPr>
                <w:rFonts w:ascii="Aptos" w:hAnsi="Aptos"/>
                <w:b w:val="0"/>
                <w:color w:val="243447"/>
                <w:sz w:val="16"/>
              </w:rPr>
              <w:t>Cross-document review and SQL-to-Power BI reconciliation.</w:t>
            </w:r>
          </w:p>
        </w:tc>
      </w:tr>
      <w:tr w14:paraId="1131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696848AC">
            <w:pPr>
              <w:spacing w:after="40"/>
            </w:pPr>
            <w:r>
              <w:rPr>
                <w:rFonts w:ascii="Aptos" w:hAnsi="Aptos"/>
                <w:b w:val="0"/>
                <w:color w:val="243447"/>
                <w:sz w:val="16"/>
              </w:rPr>
              <w:t>NFR-03</w:t>
            </w:r>
          </w:p>
        </w:tc>
        <w:tc>
          <w:tcPr>
            <w:tcW w:w="3331" w:type="dxa"/>
            <w:vAlign w:val="center"/>
          </w:tcPr>
          <w:p w14:paraId="01554C41">
            <w:pPr>
              <w:spacing w:after="40"/>
            </w:pPr>
            <w:r>
              <w:rPr>
                <w:rFonts w:ascii="Aptos" w:hAnsi="Aptos"/>
                <w:b w:val="0"/>
                <w:color w:val="243447"/>
                <w:sz w:val="16"/>
              </w:rPr>
              <w:t>Maintainability: SQL and documents have clear names and execution order.</w:t>
            </w:r>
          </w:p>
        </w:tc>
        <w:tc>
          <w:tcPr>
            <w:tcW w:w="3331" w:type="dxa"/>
            <w:vAlign w:val="center"/>
          </w:tcPr>
          <w:p w14:paraId="02ECCF75">
            <w:pPr>
              <w:spacing w:after="40"/>
            </w:pPr>
            <w:r>
              <w:rPr>
                <w:rFonts w:ascii="Aptos" w:hAnsi="Aptos"/>
                <w:b w:val="0"/>
                <w:color w:val="243447"/>
                <w:sz w:val="16"/>
              </w:rPr>
              <w:t>Review runbook, dependencies, and README.</w:t>
            </w:r>
          </w:p>
        </w:tc>
      </w:tr>
      <w:tr w14:paraId="04E0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434D296F">
            <w:pPr>
              <w:spacing w:after="40"/>
            </w:pPr>
            <w:r>
              <w:rPr>
                <w:rFonts w:ascii="Aptos" w:hAnsi="Aptos"/>
                <w:b w:val="0"/>
                <w:color w:val="243447"/>
                <w:sz w:val="16"/>
              </w:rPr>
              <w:t>NFR-04</w:t>
            </w:r>
          </w:p>
        </w:tc>
        <w:tc>
          <w:tcPr>
            <w:tcW w:w="3331" w:type="dxa"/>
            <w:shd w:val="clear" w:color="auto" w:fill="F3F6F9"/>
            <w:vAlign w:val="center"/>
          </w:tcPr>
          <w:p w14:paraId="737A9700">
            <w:pPr>
              <w:spacing w:after="40"/>
            </w:pPr>
            <w:r>
              <w:rPr>
                <w:rFonts w:ascii="Aptos" w:hAnsi="Aptos"/>
                <w:b w:val="0"/>
                <w:color w:val="243447"/>
                <w:sz w:val="16"/>
              </w:rPr>
              <w:t>Portability: prerequisites and local configuration needs are documented.</w:t>
            </w:r>
          </w:p>
        </w:tc>
        <w:tc>
          <w:tcPr>
            <w:tcW w:w="3331" w:type="dxa"/>
            <w:shd w:val="clear" w:color="auto" w:fill="F3F6F9"/>
            <w:vAlign w:val="center"/>
          </w:tcPr>
          <w:p w14:paraId="6D435D66">
            <w:pPr>
              <w:spacing w:after="40"/>
            </w:pPr>
            <w:r>
              <w:rPr>
                <w:rFonts w:ascii="Aptos" w:hAnsi="Aptos"/>
                <w:b w:val="0"/>
                <w:color w:val="243447"/>
                <w:sz w:val="16"/>
              </w:rPr>
              <w:t>Test clean-environment execution before claiming full portability.</w:t>
            </w:r>
          </w:p>
        </w:tc>
      </w:tr>
      <w:tr w14:paraId="2712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2DEED1D0">
            <w:pPr>
              <w:spacing w:after="40"/>
            </w:pPr>
            <w:r>
              <w:rPr>
                <w:rFonts w:ascii="Aptos" w:hAnsi="Aptos"/>
                <w:b w:val="0"/>
                <w:color w:val="243447"/>
                <w:sz w:val="16"/>
              </w:rPr>
              <w:t>NFR-05</w:t>
            </w:r>
          </w:p>
        </w:tc>
        <w:tc>
          <w:tcPr>
            <w:tcW w:w="3331" w:type="dxa"/>
            <w:vAlign w:val="center"/>
          </w:tcPr>
          <w:p w14:paraId="4ED33CE2">
            <w:pPr>
              <w:spacing w:after="40"/>
            </w:pPr>
            <w:r>
              <w:rPr>
                <w:rFonts w:ascii="Aptos" w:hAnsi="Aptos"/>
                <w:b w:val="0"/>
                <w:color w:val="243447"/>
                <w:sz w:val="16"/>
              </w:rPr>
              <w:t>Security: credentials, secrets, and private paths are not published.</w:t>
            </w:r>
          </w:p>
        </w:tc>
        <w:tc>
          <w:tcPr>
            <w:tcW w:w="3331" w:type="dxa"/>
            <w:vAlign w:val="center"/>
          </w:tcPr>
          <w:p w14:paraId="152F8C22">
            <w:pPr>
              <w:spacing w:after="40"/>
            </w:pPr>
            <w:r>
              <w:rPr>
                <w:rFonts w:ascii="Aptos" w:hAnsi="Aptos"/>
                <w:b w:val="0"/>
                <w:color w:val="243447"/>
                <w:sz w:val="16"/>
              </w:rPr>
              <w:t>Inspect scripts, files, connection metadata, and Git history.</w:t>
            </w:r>
          </w:p>
        </w:tc>
      </w:tr>
      <w:tr w14:paraId="4CDC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F3F6F9"/>
            <w:vAlign w:val="center"/>
          </w:tcPr>
          <w:p w14:paraId="3DB317D7">
            <w:pPr>
              <w:spacing w:after="40"/>
            </w:pPr>
            <w:r>
              <w:rPr>
                <w:rFonts w:ascii="Aptos" w:hAnsi="Aptos"/>
                <w:b w:val="0"/>
                <w:color w:val="243447"/>
                <w:sz w:val="16"/>
              </w:rPr>
              <w:t>NFR-06</w:t>
            </w:r>
          </w:p>
        </w:tc>
        <w:tc>
          <w:tcPr>
            <w:tcW w:w="3331" w:type="dxa"/>
            <w:shd w:val="clear" w:color="auto" w:fill="F3F6F9"/>
            <w:vAlign w:val="center"/>
          </w:tcPr>
          <w:p w14:paraId="3C7C4B3D">
            <w:pPr>
              <w:spacing w:after="40"/>
            </w:pPr>
            <w:r>
              <w:rPr>
                <w:rFonts w:ascii="Aptos" w:hAnsi="Aptos"/>
                <w:b w:val="0"/>
                <w:color w:val="243447"/>
                <w:sz w:val="16"/>
              </w:rPr>
              <w:t>Usability: readable labels, consistent units, plain-language caveats.</w:t>
            </w:r>
          </w:p>
        </w:tc>
        <w:tc>
          <w:tcPr>
            <w:tcW w:w="3331" w:type="dxa"/>
            <w:shd w:val="clear" w:color="auto" w:fill="F3F6F9"/>
            <w:vAlign w:val="center"/>
          </w:tcPr>
          <w:p w14:paraId="751D0FC9">
            <w:pPr>
              <w:spacing w:after="40"/>
            </w:pPr>
            <w:r>
              <w:rPr>
                <w:rFonts w:ascii="Aptos" w:hAnsi="Aptos"/>
                <w:b w:val="0"/>
                <w:color w:val="243447"/>
                <w:sz w:val="16"/>
              </w:rPr>
              <w:t>Review report pages and user guide.</w:t>
            </w:r>
          </w:p>
        </w:tc>
      </w:tr>
      <w:tr w14:paraId="3E6F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7E5672C8">
            <w:pPr>
              <w:spacing w:after="40"/>
            </w:pPr>
            <w:r>
              <w:rPr>
                <w:rFonts w:ascii="Aptos" w:hAnsi="Aptos"/>
                <w:b w:val="0"/>
                <w:color w:val="243447"/>
                <w:sz w:val="16"/>
              </w:rPr>
              <w:t>NFR-07</w:t>
            </w:r>
          </w:p>
        </w:tc>
        <w:tc>
          <w:tcPr>
            <w:tcW w:w="3331" w:type="dxa"/>
            <w:vAlign w:val="center"/>
          </w:tcPr>
          <w:p w14:paraId="4C1CE479">
            <w:pPr>
              <w:spacing w:after="40"/>
            </w:pPr>
            <w:r>
              <w:rPr>
                <w:rFonts w:ascii="Aptos" w:hAnsi="Aptos"/>
                <w:b w:val="0"/>
                <w:color w:val="243447"/>
                <w:sz w:val="16"/>
              </w:rPr>
              <w:t>Evidence integrity: test statuses reflect executed checks.</w:t>
            </w:r>
          </w:p>
        </w:tc>
        <w:tc>
          <w:tcPr>
            <w:tcW w:w="3331" w:type="dxa"/>
            <w:vAlign w:val="center"/>
          </w:tcPr>
          <w:p w14:paraId="67105C71">
            <w:pPr>
              <w:spacing w:after="40"/>
            </w:pPr>
            <w:r>
              <w:rPr>
                <w:rFonts w:ascii="Aptos" w:hAnsi="Aptos"/>
                <w:b w:val="0"/>
                <w:color w:val="243447"/>
                <w:sz w:val="16"/>
              </w:rPr>
              <w:t>Update testing workbook and traceability matrix only with evidence.</w:t>
            </w:r>
          </w:p>
        </w:tc>
      </w:tr>
    </w:tbl>
    <w:p w14:paraId="3640DFF1">
      <w:pPr>
        <w:spacing w:after="20"/>
      </w:pPr>
    </w:p>
    <w:p w14:paraId="5C8F0533">
      <w:pPr>
        <w:pStyle w:val="2"/>
      </w:pPr>
      <w:r>
        <w:t>7. Verification and acceptance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62"/>
        <w:gridCol w:w="2840"/>
        <w:gridCol w:w="2460"/>
      </w:tblGrid>
      <w:tr w14:paraId="3825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98" w:type="dxa"/>
            <w:shd w:val="clear" w:color="auto" w:fill="17365D"/>
            <w:vAlign w:val="center"/>
          </w:tcPr>
          <w:p w14:paraId="452EBC7A">
            <w:pPr>
              <w:spacing w:after="40"/>
            </w:pPr>
            <w:r>
              <w:rPr>
                <w:rFonts w:ascii="Aptos" w:hAnsi="Aptos"/>
                <w:b/>
                <w:color w:val="FFFFFF"/>
                <w:sz w:val="16"/>
              </w:rPr>
              <w:t>Test</w:t>
            </w:r>
          </w:p>
        </w:tc>
        <w:tc>
          <w:tcPr>
            <w:tcW w:w="2498" w:type="dxa"/>
            <w:shd w:val="clear" w:color="auto" w:fill="17365D"/>
            <w:vAlign w:val="center"/>
          </w:tcPr>
          <w:p w14:paraId="3953906B">
            <w:pPr>
              <w:spacing w:after="40"/>
            </w:pPr>
            <w:r>
              <w:rPr>
                <w:rFonts w:ascii="Aptos" w:hAnsi="Aptos"/>
                <w:b/>
                <w:color w:val="FFFFFF"/>
                <w:sz w:val="16"/>
              </w:rPr>
              <w:t>Verification</w:t>
            </w:r>
          </w:p>
        </w:tc>
        <w:tc>
          <w:tcPr>
            <w:tcW w:w="2498" w:type="dxa"/>
            <w:shd w:val="clear" w:color="auto" w:fill="17365D"/>
            <w:vAlign w:val="center"/>
          </w:tcPr>
          <w:p w14:paraId="5CDACA7C">
            <w:pPr>
              <w:spacing w:after="40"/>
            </w:pPr>
            <w:r>
              <w:rPr>
                <w:rFonts w:ascii="Aptos" w:hAnsi="Aptos"/>
                <w:b/>
                <w:color w:val="FFFFFF"/>
                <w:sz w:val="16"/>
              </w:rPr>
              <w:t>Expected outcome</w:t>
            </w:r>
          </w:p>
        </w:tc>
        <w:tc>
          <w:tcPr>
            <w:tcW w:w="2498" w:type="dxa"/>
            <w:shd w:val="clear" w:color="auto" w:fill="17365D"/>
            <w:vAlign w:val="center"/>
          </w:tcPr>
          <w:p w14:paraId="081CA654">
            <w:pPr>
              <w:spacing w:after="40"/>
            </w:pPr>
            <w:r>
              <w:rPr>
                <w:rFonts w:ascii="Aptos" w:hAnsi="Aptos"/>
                <w:b/>
                <w:color w:val="FFFFFF"/>
                <w:sz w:val="16"/>
              </w:rPr>
              <w:t>Status rule</w:t>
            </w:r>
          </w:p>
        </w:tc>
      </w:tr>
      <w:tr w14:paraId="76D2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vAlign w:val="center"/>
          </w:tcPr>
          <w:p w14:paraId="7049B639">
            <w:pPr>
              <w:spacing w:after="40"/>
            </w:pPr>
            <w:r>
              <w:rPr>
                <w:rFonts w:ascii="Aptos" w:hAnsi="Aptos"/>
                <w:b w:val="0"/>
                <w:color w:val="243447"/>
                <w:sz w:val="15"/>
              </w:rPr>
              <w:t>T-01</w:t>
            </w:r>
          </w:p>
        </w:tc>
        <w:tc>
          <w:tcPr>
            <w:tcW w:w="2498" w:type="dxa"/>
            <w:vAlign w:val="center"/>
          </w:tcPr>
          <w:p w14:paraId="75C5534B">
            <w:pPr>
              <w:spacing w:after="40"/>
            </w:pPr>
            <w:r>
              <w:rPr>
                <w:rFonts w:ascii="Aptos" w:hAnsi="Aptos"/>
                <w:b w:val="0"/>
                <w:color w:val="243447"/>
                <w:sz w:val="15"/>
              </w:rPr>
              <w:t>Query COUNT(*) for each stage table.</w:t>
            </w:r>
          </w:p>
        </w:tc>
        <w:tc>
          <w:tcPr>
            <w:tcW w:w="2498" w:type="dxa"/>
            <w:vAlign w:val="center"/>
          </w:tcPr>
          <w:p w14:paraId="46974B40">
            <w:pPr>
              <w:spacing w:after="40"/>
            </w:pPr>
            <w:r>
              <w:rPr>
                <w:rFonts w:ascii="Aptos" w:hAnsi="Aptos"/>
                <w:b w:val="0"/>
                <w:color w:val="243447"/>
                <w:sz w:val="15"/>
              </w:rPr>
              <w:t>Counts match baseline or changes are explained.</w:t>
            </w:r>
          </w:p>
        </w:tc>
        <w:tc>
          <w:tcPr>
            <w:tcW w:w="2498" w:type="dxa"/>
            <w:vAlign w:val="center"/>
          </w:tcPr>
          <w:p w14:paraId="6EABEB59">
            <w:pPr>
              <w:spacing w:after="40"/>
            </w:pPr>
            <w:r>
              <w:rPr>
                <w:rFonts w:ascii="Aptos" w:hAnsi="Aptos"/>
                <w:b w:val="0"/>
                <w:color w:val="243447"/>
                <w:sz w:val="15"/>
              </w:rPr>
              <w:t>Do not mark passed without query evidence.</w:t>
            </w:r>
          </w:p>
        </w:tc>
      </w:tr>
      <w:tr w14:paraId="45BC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shd w:val="clear" w:color="auto" w:fill="F3F6F9"/>
            <w:vAlign w:val="center"/>
          </w:tcPr>
          <w:p w14:paraId="08881495">
            <w:pPr>
              <w:spacing w:after="40"/>
            </w:pPr>
            <w:r>
              <w:rPr>
                <w:rFonts w:ascii="Aptos" w:hAnsi="Aptos"/>
                <w:b w:val="0"/>
                <w:color w:val="243447"/>
                <w:sz w:val="15"/>
              </w:rPr>
              <w:t>T-02</w:t>
            </w:r>
          </w:p>
        </w:tc>
        <w:tc>
          <w:tcPr>
            <w:tcW w:w="2498" w:type="dxa"/>
            <w:shd w:val="clear" w:color="auto" w:fill="F3F6F9"/>
            <w:vAlign w:val="center"/>
          </w:tcPr>
          <w:p w14:paraId="3B9984C9">
            <w:pPr>
              <w:spacing w:after="40"/>
            </w:pPr>
            <w:r>
              <w:rPr>
                <w:rFonts w:ascii="Aptos" w:hAnsi="Aptos"/>
                <w:b w:val="0"/>
                <w:color w:val="243447"/>
                <w:sz w:val="15"/>
              </w:rPr>
              <w:t>Query business-table counts by service date.</w:t>
            </w:r>
          </w:p>
        </w:tc>
        <w:tc>
          <w:tcPr>
            <w:tcW w:w="2498" w:type="dxa"/>
            <w:shd w:val="clear" w:color="auto" w:fill="F3F6F9"/>
            <w:vAlign w:val="center"/>
          </w:tcPr>
          <w:p w14:paraId="7337416E">
            <w:pPr>
              <w:spacing w:after="40"/>
            </w:pPr>
            <w:r>
              <w:rPr>
                <w:rFonts w:ascii="Aptos" w:hAnsi="Aptos"/>
                <w:b w:val="0"/>
                <w:color w:val="243447"/>
                <w:sz w:val="15"/>
              </w:rPr>
              <w:t>February 23 returns zero rows; date coverage is documented.</w:t>
            </w:r>
          </w:p>
        </w:tc>
        <w:tc>
          <w:tcPr>
            <w:tcW w:w="2498" w:type="dxa"/>
            <w:shd w:val="clear" w:color="auto" w:fill="F3F6F9"/>
            <w:vAlign w:val="center"/>
          </w:tcPr>
          <w:p w14:paraId="118B52A8">
            <w:pPr>
              <w:spacing w:after="40"/>
            </w:pPr>
            <w:r>
              <w:rPr>
                <w:rFonts w:ascii="Aptos" w:hAnsi="Aptos"/>
                <w:b w:val="0"/>
                <w:color w:val="243447"/>
                <w:sz w:val="15"/>
              </w:rPr>
              <w:t>Record result; investigate cause separately.</w:t>
            </w:r>
          </w:p>
        </w:tc>
      </w:tr>
      <w:tr w14:paraId="1030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vAlign w:val="center"/>
          </w:tcPr>
          <w:p w14:paraId="77198AFD">
            <w:pPr>
              <w:spacing w:after="40"/>
            </w:pPr>
            <w:r>
              <w:rPr>
                <w:rFonts w:ascii="Aptos" w:hAnsi="Aptos"/>
                <w:b w:val="0"/>
                <w:color w:val="243447"/>
                <w:sz w:val="15"/>
              </w:rPr>
              <w:t>T-03</w:t>
            </w:r>
          </w:p>
        </w:tc>
        <w:tc>
          <w:tcPr>
            <w:tcW w:w="2498" w:type="dxa"/>
            <w:vAlign w:val="center"/>
          </w:tcPr>
          <w:p w14:paraId="36577A98">
            <w:pPr>
              <w:spacing w:after="40"/>
            </w:pPr>
            <w:r>
              <w:rPr>
                <w:rFonts w:ascii="Aptos" w:hAnsi="Aptos"/>
                <w:b w:val="0"/>
                <w:color w:val="243447"/>
                <w:sz w:val="15"/>
              </w:rPr>
              <w:t>Recalculate headline KPIs from business table.</w:t>
            </w:r>
          </w:p>
        </w:tc>
        <w:tc>
          <w:tcPr>
            <w:tcW w:w="2498" w:type="dxa"/>
            <w:vAlign w:val="center"/>
          </w:tcPr>
          <w:p w14:paraId="1611017B">
            <w:pPr>
              <w:spacing w:after="40"/>
            </w:pPr>
            <w:r>
              <w:rPr>
                <w:rFonts w:ascii="Aptos" w:hAnsi="Aptos"/>
                <w:b w:val="0"/>
                <w:color w:val="243447"/>
                <w:sz w:val="15"/>
              </w:rPr>
              <w:t>Values reconcile to KPI dictionary within documented rounding.</w:t>
            </w:r>
          </w:p>
        </w:tc>
        <w:tc>
          <w:tcPr>
            <w:tcW w:w="2498" w:type="dxa"/>
            <w:vAlign w:val="center"/>
          </w:tcPr>
          <w:p w14:paraId="12F25AB2">
            <w:pPr>
              <w:spacing w:after="40"/>
            </w:pPr>
            <w:r>
              <w:rPr>
                <w:rFonts w:ascii="Aptos" w:hAnsi="Aptos"/>
                <w:b w:val="0"/>
                <w:color w:val="243447"/>
                <w:sz w:val="15"/>
              </w:rPr>
              <w:t>Use same population and formulas.</w:t>
            </w:r>
          </w:p>
        </w:tc>
      </w:tr>
      <w:tr w14:paraId="7798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shd w:val="clear" w:color="auto" w:fill="F3F6F9"/>
            <w:vAlign w:val="center"/>
          </w:tcPr>
          <w:p w14:paraId="42E9196D">
            <w:pPr>
              <w:spacing w:after="40"/>
            </w:pPr>
            <w:r>
              <w:rPr>
                <w:rFonts w:ascii="Aptos" w:hAnsi="Aptos"/>
                <w:b w:val="0"/>
                <w:color w:val="243447"/>
                <w:sz w:val="15"/>
              </w:rPr>
              <w:t>T-04</w:t>
            </w:r>
          </w:p>
        </w:tc>
        <w:tc>
          <w:tcPr>
            <w:tcW w:w="2498" w:type="dxa"/>
            <w:shd w:val="clear" w:color="auto" w:fill="F3F6F9"/>
            <w:vAlign w:val="center"/>
          </w:tcPr>
          <w:p w14:paraId="46A3CCCB">
            <w:pPr>
              <w:spacing w:after="40"/>
            </w:pPr>
            <w:r>
              <w:rPr>
                <w:rFonts w:ascii="Aptos" w:hAnsi="Aptos"/>
                <w:b w:val="0"/>
                <w:color w:val="243447"/>
                <w:sz w:val="15"/>
              </w:rPr>
              <w:t>Validate aggregate amount per mile.</w:t>
            </w:r>
          </w:p>
        </w:tc>
        <w:tc>
          <w:tcPr>
            <w:tcW w:w="2498" w:type="dxa"/>
            <w:shd w:val="clear" w:color="auto" w:fill="F3F6F9"/>
            <w:vAlign w:val="center"/>
          </w:tcPr>
          <w:p w14:paraId="6311B8E4">
            <w:pPr>
              <w:spacing w:after="40"/>
            </w:pPr>
            <w:r>
              <w:rPr>
                <w:rFonts w:ascii="Aptos" w:hAnsi="Aptos"/>
                <w:b w:val="0"/>
                <w:color w:val="243447"/>
                <w:sz w:val="15"/>
              </w:rPr>
              <w:t>Use SUM(total_amount)/SUM(trip_distance).</w:t>
            </w:r>
          </w:p>
        </w:tc>
        <w:tc>
          <w:tcPr>
            <w:tcW w:w="2498" w:type="dxa"/>
            <w:shd w:val="clear" w:color="auto" w:fill="F3F6F9"/>
            <w:vAlign w:val="center"/>
          </w:tcPr>
          <w:p w14:paraId="40B82D78">
            <w:pPr>
              <w:spacing w:after="40"/>
            </w:pPr>
            <w:r>
              <w:rPr>
                <w:rFonts w:ascii="Aptos" w:hAnsi="Aptos"/>
                <w:b w:val="0"/>
                <w:color w:val="243447"/>
                <w:sz w:val="15"/>
              </w:rPr>
              <w:t>Do not substitute average of per-trip ratios.</w:t>
            </w:r>
          </w:p>
        </w:tc>
      </w:tr>
      <w:tr w14:paraId="0592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vAlign w:val="center"/>
          </w:tcPr>
          <w:p w14:paraId="4BCA9B5E">
            <w:pPr>
              <w:spacing w:after="40"/>
            </w:pPr>
            <w:r>
              <w:rPr>
                <w:rFonts w:ascii="Aptos" w:hAnsi="Aptos"/>
                <w:b w:val="0"/>
                <w:color w:val="243447"/>
                <w:sz w:val="15"/>
              </w:rPr>
              <w:t>T-05</w:t>
            </w:r>
          </w:p>
        </w:tc>
        <w:tc>
          <w:tcPr>
            <w:tcW w:w="2498" w:type="dxa"/>
            <w:vAlign w:val="center"/>
          </w:tcPr>
          <w:p w14:paraId="2F4791FC">
            <w:pPr>
              <w:spacing w:after="40"/>
            </w:pPr>
            <w:r>
              <w:rPr>
                <w:rFonts w:ascii="Aptos" w:hAnsi="Aptos"/>
                <w:b w:val="0"/>
                <w:color w:val="243447"/>
                <w:sz w:val="15"/>
              </w:rPr>
              <w:t>Review airport query filters.</w:t>
            </w:r>
          </w:p>
        </w:tc>
        <w:tc>
          <w:tcPr>
            <w:tcW w:w="2498" w:type="dxa"/>
            <w:vAlign w:val="center"/>
          </w:tcPr>
          <w:p w14:paraId="0ED962D1">
            <w:pPr>
              <w:spacing w:after="40"/>
            </w:pPr>
            <w:r>
              <w:rPr>
                <w:rFonts w:ascii="Aptos" w:hAnsi="Aptos"/>
                <w:b w:val="0"/>
                <w:color w:val="243447"/>
                <w:sz w:val="15"/>
              </w:rPr>
              <w:t>JFK and LaGuardia included according to pickup-zone logic.</w:t>
            </w:r>
          </w:p>
        </w:tc>
        <w:tc>
          <w:tcPr>
            <w:tcW w:w="2498" w:type="dxa"/>
            <w:vAlign w:val="center"/>
          </w:tcPr>
          <w:p w14:paraId="13E7F068">
            <w:pPr>
              <w:spacing w:after="40"/>
            </w:pPr>
            <w:r>
              <w:rPr>
                <w:rFonts w:ascii="Aptos" w:hAnsi="Aptos"/>
                <w:b w:val="0"/>
                <w:color w:val="243447"/>
                <w:sz w:val="15"/>
              </w:rPr>
              <w:t>Label as pickup-zone amount.</w:t>
            </w:r>
          </w:p>
        </w:tc>
      </w:tr>
      <w:tr w14:paraId="2421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shd w:val="clear" w:color="auto" w:fill="F3F6F9"/>
            <w:vAlign w:val="center"/>
          </w:tcPr>
          <w:p w14:paraId="1AF1EB9B">
            <w:pPr>
              <w:spacing w:after="40"/>
            </w:pPr>
            <w:r>
              <w:rPr>
                <w:rFonts w:ascii="Aptos" w:hAnsi="Aptos"/>
                <w:b w:val="0"/>
                <w:color w:val="243447"/>
                <w:sz w:val="15"/>
              </w:rPr>
              <w:t>T-06</w:t>
            </w:r>
          </w:p>
        </w:tc>
        <w:tc>
          <w:tcPr>
            <w:tcW w:w="2498" w:type="dxa"/>
            <w:shd w:val="clear" w:color="auto" w:fill="F3F6F9"/>
            <w:vAlign w:val="center"/>
          </w:tcPr>
          <w:p w14:paraId="10486D2B">
            <w:pPr>
              <w:spacing w:after="40"/>
            </w:pPr>
            <w:r>
              <w:rPr>
                <w:rFonts w:ascii="Aptos" w:hAnsi="Aptos"/>
                <w:b w:val="0"/>
                <w:color w:val="243447"/>
                <w:sz w:val="15"/>
              </w:rPr>
              <w:t>Review scenario formulas and labels.</w:t>
            </w:r>
          </w:p>
        </w:tc>
        <w:tc>
          <w:tcPr>
            <w:tcW w:w="2498" w:type="dxa"/>
            <w:shd w:val="clear" w:color="auto" w:fill="F3F6F9"/>
            <w:vAlign w:val="center"/>
          </w:tcPr>
          <w:p w14:paraId="66380D17">
            <w:pPr>
              <w:spacing w:after="40"/>
            </w:pPr>
            <w:r>
              <w:rPr>
                <w:rFonts w:ascii="Aptos" w:hAnsi="Aptos"/>
                <w:b w:val="0"/>
                <w:color w:val="243447"/>
                <w:sz w:val="15"/>
              </w:rPr>
              <w:t>1%, 2%, 3%, 5% are illustrative.</w:t>
            </w:r>
          </w:p>
        </w:tc>
        <w:tc>
          <w:tcPr>
            <w:tcW w:w="2498" w:type="dxa"/>
            <w:shd w:val="clear" w:color="auto" w:fill="F3F6F9"/>
            <w:vAlign w:val="center"/>
          </w:tcPr>
          <w:p w14:paraId="759F3F68">
            <w:pPr>
              <w:spacing w:after="40"/>
            </w:pPr>
            <w:r>
              <w:rPr>
                <w:rFonts w:ascii="Aptos" w:hAnsi="Aptos"/>
                <w:b w:val="0"/>
                <w:color w:val="243447"/>
                <w:sz w:val="15"/>
              </w:rPr>
              <w:t>Do not describe as forecasts.</w:t>
            </w:r>
          </w:p>
        </w:tc>
      </w:tr>
      <w:tr w14:paraId="7639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vAlign w:val="center"/>
          </w:tcPr>
          <w:p w14:paraId="3E38FCF4">
            <w:pPr>
              <w:spacing w:after="40"/>
            </w:pPr>
            <w:r>
              <w:rPr>
                <w:rFonts w:ascii="Aptos" w:hAnsi="Aptos"/>
                <w:b w:val="0"/>
                <w:color w:val="243447"/>
                <w:sz w:val="15"/>
              </w:rPr>
              <w:t>T-07</w:t>
            </w:r>
          </w:p>
        </w:tc>
        <w:tc>
          <w:tcPr>
            <w:tcW w:w="2498" w:type="dxa"/>
            <w:vAlign w:val="center"/>
          </w:tcPr>
          <w:p w14:paraId="07310FBF">
            <w:pPr>
              <w:spacing w:after="40"/>
            </w:pPr>
            <w:r>
              <w:rPr>
                <w:rFonts w:ascii="Aptos" w:hAnsi="Aptos"/>
                <w:b w:val="0"/>
                <w:color w:val="243447"/>
                <w:sz w:val="15"/>
              </w:rPr>
              <w:t>Inspect Power BI pages against specification.</w:t>
            </w:r>
          </w:p>
        </w:tc>
        <w:tc>
          <w:tcPr>
            <w:tcW w:w="2498" w:type="dxa"/>
            <w:vAlign w:val="center"/>
          </w:tcPr>
          <w:p w14:paraId="3FEA6122">
            <w:pPr>
              <w:spacing w:after="40"/>
            </w:pPr>
            <w:r>
              <w:rPr>
                <w:rFonts w:ascii="Aptos" w:hAnsi="Aptos"/>
                <w:b w:val="0"/>
                <w:color w:val="243447"/>
                <w:sz w:val="15"/>
              </w:rPr>
              <w:t>Titles, KPI labels, population, caveats align.</w:t>
            </w:r>
          </w:p>
        </w:tc>
        <w:tc>
          <w:tcPr>
            <w:tcW w:w="2498" w:type="dxa"/>
            <w:vAlign w:val="center"/>
          </w:tcPr>
          <w:p w14:paraId="408E7B61">
            <w:pPr>
              <w:spacing w:after="40"/>
            </w:pPr>
            <w:r>
              <w:rPr>
                <w:rFonts w:ascii="Aptos" w:hAnsi="Aptos"/>
                <w:b w:val="0"/>
                <w:color w:val="243447"/>
                <w:sz w:val="15"/>
              </w:rPr>
              <w:t>Confirm interactions only after PBIX inspection.</w:t>
            </w:r>
          </w:p>
        </w:tc>
      </w:tr>
      <w:tr w14:paraId="2AE6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shd w:val="clear" w:color="auto" w:fill="F3F6F9"/>
            <w:vAlign w:val="center"/>
          </w:tcPr>
          <w:p w14:paraId="20E4DB09">
            <w:pPr>
              <w:spacing w:after="40"/>
            </w:pPr>
            <w:r>
              <w:rPr>
                <w:rFonts w:ascii="Aptos" w:hAnsi="Aptos"/>
                <w:b w:val="0"/>
                <w:color w:val="243447"/>
                <w:sz w:val="15"/>
              </w:rPr>
              <w:t>T-08</w:t>
            </w:r>
          </w:p>
        </w:tc>
        <w:tc>
          <w:tcPr>
            <w:tcW w:w="2498" w:type="dxa"/>
            <w:shd w:val="clear" w:color="auto" w:fill="F3F6F9"/>
            <w:vAlign w:val="center"/>
          </w:tcPr>
          <w:p w14:paraId="11A0F66C">
            <w:pPr>
              <w:spacing w:after="40"/>
            </w:pPr>
            <w:r>
              <w:rPr>
                <w:rFonts w:ascii="Aptos" w:hAnsi="Aptos"/>
                <w:b w:val="0"/>
                <w:color w:val="243447"/>
                <w:sz w:val="15"/>
              </w:rPr>
              <w:t>Open README links and inspect repository.</w:t>
            </w:r>
          </w:p>
        </w:tc>
        <w:tc>
          <w:tcPr>
            <w:tcW w:w="2498" w:type="dxa"/>
            <w:shd w:val="clear" w:color="auto" w:fill="F3F6F9"/>
            <w:vAlign w:val="center"/>
          </w:tcPr>
          <w:p w14:paraId="0AF6FEB7">
            <w:pPr>
              <w:spacing w:after="40"/>
            </w:pPr>
            <w:r>
              <w:rPr>
                <w:rFonts w:ascii="Aptos" w:hAnsi="Aptos"/>
                <w:b w:val="0"/>
                <w:color w:val="243447"/>
                <w:sz w:val="15"/>
              </w:rPr>
              <w:t>Links resolve; secrets and bulk data excluded.</w:t>
            </w:r>
          </w:p>
        </w:tc>
        <w:tc>
          <w:tcPr>
            <w:tcW w:w="2498" w:type="dxa"/>
            <w:shd w:val="clear" w:color="auto" w:fill="F3F6F9"/>
            <w:vAlign w:val="center"/>
          </w:tcPr>
          <w:p w14:paraId="385C6267">
            <w:pPr>
              <w:spacing w:after="40"/>
            </w:pPr>
            <w:r>
              <w:rPr>
                <w:rFonts w:ascii="Aptos" w:hAnsi="Aptos"/>
                <w:b w:val="0"/>
                <w:color w:val="243447"/>
                <w:sz w:val="15"/>
              </w:rPr>
              <w:t>Complete before public release.</w:t>
            </w:r>
          </w:p>
        </w:tc>
      </w:tr>
    </w:tbl>
    <w:p w14:paraId="71EA01E6">
      <w:pPr>
        <w:pStyle w:val="23"/>
        <w:numPr>
          <w:numId w:val="0"/>
        </w:numPr>
        <w:spacing w:after="40"/>
        <w:ind w:leftChars="0"/>
      </w:pPr>
      <w:bookmarkStart w:id="0" w:name="_GoBack"/>
      <w:bookmarkEnd w:id="0"/>
      <w:r>
        <w:t>.</w:t>
      </w:r>
    </w:p>
    <w:sectPr>
      <w:headerReference r:id="rId5" w:type="default"/>
      <w:footerReference r:id="rId6" w:type="default"/>
      <w:pgSz w:w="12240" w:h="15840"/>
      <w:pgMar w:top="979" w:right="1123" w:bottom="979"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EFDE1">
    <w:pPr>
      <w:pStyle w:val="18"/>
      <w:jc w:val="right"/>
    </w:pPr>
    <w:r>
      <w:rPr>
        <w:color w:val="5B6573"/>
        <w:sz w:val="16"/>
      </w:rPr>
      <w:t xml:space="preserve">NYC Yellow Taxi Analytics  |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5E27">
    <w:pPr>
      <w:pStyle w:val="19"/>
    </w:pPr>
    <w:r>
      <w:rPr>
        <w:rFonts w:ascii="Aptos" w:hAnsi="Aptos"/>
        <w:b/>
        <w:color w:val="0F7C86"/>
        <w:sz w:val="16"/>
      </w:rPr>
      <w:t>NYC YELLOW TAXI ANALYTICS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8843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243447"/>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F7C86"/>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7365D"/>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6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1435</Words>
  <Characters>9840</Characters>
  <Lines>0</Lines>
  <Paragraphs>0</Paragraphs>
  <TotalTime>0</TotalTime>
  <ScaleCrop>false</ScaleCrop>
  <LinksUpToDate>false</LinksUpToDate>
  <CharactersWithSpaces>10991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Abhinav Abhi</cp:lastModifiedBy>
  <dcterms:modified xsi:type="dcterms:W3CDTF">2026-10-27T12:59:04Z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eyJoZGlkIjoiMDljYzUzMWQ4OWI0YzBkYjYzMDRhZTY5ZjZkYmFmYTgiLCJ1c2VySWQiOiI1NjcxMzIxMzUwOTUifQ==</vt:lpwstr>
  </property>
  <property fmtid="{D5CDD505-2E9C-101B-9397-08002B2CF9AE}" pid="3" name="KSOProductBuildVer">
    <vt:lpwstr>1033-12.1.0.29162</vt:lpwstr>
  </property>
  <property fmtid="{D5CDD505-2E9C-101B-9397-08002B2CF9AE}" pid="4" name="ICV">
    <vt:lpwstr>5D98F4F59ABB4322ABAF33202A73E478_12</vt:lpwstr>
  </property>
</Properties>
</file>