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CA116">
      <w:pPr>
        <w:jc w:val="center"/>
      </w:pPr>
      <w:r>
        <w:rPr>
          <w:rFonts w:ascii="Aptos Display" w:hAnsi="Aptos Display"/>
          <w:b/>
          <w:color w:val="17365D"/>
          <w:sz w:val="50"/>
        </w:rPr>
        <w:t>SQL TRANSFORMATION</w:t>
      </w:r>
      <w:r>
        <w:rPr>
          <w:rFonts w:ascii="Aptos Display" w:hAnsi="Aptos Display"/>
          <w:b/>
          <w:color w:val="17365D"/>
          <w:sz w:val="50"/>
        </w:rPr>
        <w:br w:type="textWrapping"/>
      </w:r>
      <w:r>
        <w:rPr>
          <w:rFonts w:ascii="Aptos Display" w:hAnsi="Aptos Display"/>
          <w:b/>
          <w:color w:val="17365D"/>
          <w:sz w:val="50"/>
        </w:rPr>
        <w:t>DOCUMENTATION</w:t>
      </w:r>
    </w:p>
    <w:p w14:paraId="60D1C98F">
      <w:pPr>
        <w:jc w:val="center"/>
      </w:pPr>
      <w:r>
        <w:rPr>
          <w:color w:val="008C95"/>
          <w:sz w:val="24"/>
        </w:rPr>
        <w:t>February 2026 NYC Yellow Taxi Analytics</w:t>
      </w:r>
    </w:p>
    <w:p w14:paraId="54A31D92">
      <w:pPr>
        <w:jc w:val="center"/>
      </w:pPr>
      <w:r>
        <w:rPr>
          <w:i/>
          <w:color w:val="5B6573"/>
          <w:sz w:val="18"/>
        </w:rPr>
        <w:t>Pipeline lineage • Transformation decisions • Analytical outputs</w:t>
      </w:r>
    </w:p>
    <w:p w14:paraId="5AB882FD">
      <w:pPr>
        <w:pStyle w:val="2"/>
      </w:pPr>
      <w:r>
        <w:t>1. Purpose and scope</w:t>
      </w:r>
    </w:p>
    <w:p w14:paraId="03AE8F9A">
      <w:r>
        <w:t>This document describes the SQL data-preparation and analytical stages documented for the NYC Yellow Taxi Analytics project. It records the known pipeline stages, row-count changes, stated exclusion rules, and the business-analysis population consumed by reporting. It is intended to make the workflow understandable and reproducible without introducing undocumented SQL statements or database relationships.</w:t>
      </w:r>
    </w:p>
    <w:p w14:paraId="08C4BB6F">
      <w:r>
        <w:t>Scope note: the figures and rule descriptions below are drawn from the project's existing Data Quality Assessment documentation. This document does not claim that every underlying SQL predicate has been independently inspected here.</w:t>
      </w:r>
    </w:p>
    <w:p w14:paraId="65CF259B">
      <w:pPr>
        <w:pStyle w:val="2"/>
      </w:pPr>
      <w:r>
        <w:t>2. Transformation pipeline</w:t>
      </w:r>
    </w:p>
    <w:p w14:paraId="4419508C">
      <w:r>
        <w:t>The project uses staged tables to distinguish the imported population from cleaned records, duration-filtered records, and the final business-analysis population.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186"/>
        <w:gridCol w:w="2016"/>
        <w:gridCol w:w="2016"/>
        <w:gridCol w:w="2016"/>
      </w:tblGrid>
      <w:tr w14:paraId="062F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7365D"/>
            <w:vAlign w:val="center"/>
          </w:tcPr>
          <w:p w14:paraId="42791B27">
            <w:pPr>
              <w:spacing w:after="20" w:line="240" w:lineRule="auto"/>
            </w:pPr>
            <w:r>
              <w:rPr>
                <w:rFonts w:ascii="Aptos" w:hAnsi="Aptos"/>
                <w:b/>
                <w:color w:val="FFFFFF"/>
                <w:sz w:val="16"/>
              </w:rPr>
              <w:t>Stage</w:t>
            </w:r>
          </w:p>
        </w:tc>
        <w:tc>
          <w:tcPr>
            <w:tcW w:w="2016" w:type="dxa"/>
            <w:shd w:val="clear" w:color="auto" w:fill="17365D"/>
            <w:vAlign w:val="center"/>
          </w:tcPr>
          <w:p w14:paraId="3E0D3BCE">
            <w:pPr>
              <w:spacing w:after="20" w:line="240" w:lineRule="auto"/>
            </w:pPr>
            <w:r>
              <w:rPr>
                <w:rFonts w:ascii="Aptos" w:hAnsi="Aptos"/>
                <w:b/>
                <w:color w:val="FFFFFF"/>
                <w:sz w:val="16"/>
              </w:rPr>
              <w:t>Table</w:t>
            </w:r>
          </w:p>
        </w:tc>
        <w:tc>
          <w:tcPr>
            <w:tcW w:w="2016" w:type="dxa"/>
            <w:shd w:val="clear" w:color="auto" w:fill="17365D"/>
            <w:vAlign w:val="center"/>
          </w:tcPr>
          <w:p w14:paraId="282B9155">
            <w:pPr>
              <w:spacing w:after="20" w:line="240" w:lineRule="auto"/>
            </w:pPr>
            <w:r>
              <w:rPr>
                <w:rFonts w:ascii="Aptos" w:hAnsi="Aptos"/>
                <w:b/>
                <w:color w:val="FFFFFF"/>
                <w:sz w:val="16"/>
              </w:rPr>
              <w:t>Rows</w:t>
            </w:r>
          </w:p>
        </w:tc>
        <w:tc>
          <w:tcPr>
            <w:tcW w:w="2016" w:type="dxa"/>
            <w:shd w:val="clear" w:color="auto" w:fill="17365D"/>
            <w:vAlign w:val="center"/>
          </w:tcPr>
          <w:p w14:paraId="49EF4117">
            <w:pPr>
              <w:spacing w:after="20" w:line="240" w:lineRule="auto"/>
            </w:pPr>
            <w:r>
              <w:rPr>
                <w:rFonts w:ascii="Aptos" w:hAnsi="Aptos"/>
                <w:b/>
                <w:color w:val="FFFFFF"/>
                <w:sz w:val="16"/>
              </w:rPr>
              <w:t>Change</w:t>
            </w:r>
          </w:p>
        </w:tc>
        <w:tc>
          <w:tcPr>
            <w:tcW w:w="2016" w:type="dxa"/>
            <w:shd w:val="clear" w:color="auto" w:fill="17365D"/>
            <w:vAlign w:val="center"/>
          </w:tcPr>
          <w:p w14:paraId="412EBC73">
            <w:pPr>
              <w:spacing w:after="20" w:line="240" w:lineRule="auto"/>
            </w:pPr>
            <w:r>
              <w:rPr>
                <w:rFonts w:ascii="Aptos" w:hAnsi="Aptos"/>
                <w:b/>
                <w:color w:val="FFFFFF"/>
                <w:sz w:val="16"/>
              </w:rPr>
              <w:t>Documented purpose</w:t>
            </w:r>
          </w:p>
        </w:tc>
      </w:tr>
      <w:tr w14:paraId="221D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A"/>
            <w:vAlign w:val="center"/>
          </w:tcPr>
          <w:p w14:paraId="1709FDFC">
            <w:pPr>
              <w:spacing w:after="20" w:line="240" w:lineRule="auto"/>
            </w:pPr>
            <w:r>
              <w:rPr>
                <w:rFonts w:ascii="Aptos" w:hAnsi="Aptos"/>
                <w:b/>
                <w:sz w:val="15"/>
              </w:rPr>
              <w:t>1. Source</w:t>
            </w:r>
          </w:p>
        </w:tc>
        <w:tc>
          <w:tcPr>
            <w:tcW w:w="2016" w:type="dxa"/>
            <w:shd w:val="clear" w:color="auto" w:fill="F3F7FA"/>
            <w:vAlign w:val="center"/>
          </w:tcPr>
          <w:p w14:paraId="3BFCFFE6">
            <w:pPr>
              <w:spacing w:after="20" w:line="240" w:lineRule="auto"/>
            </w:pPr>
            <w:r>
              <w:rPr>
                <w:rFonts w:ascii="Aptos" w:hAnsi="Aptos"/>
                <w:b w:val="0"/>
                <w:sz w:val="15"/>
              </w:rPr>
              <w:t>analytics_yellow_taxi</w:t>
            </w:r>
          </w:p>
        </w:tc>
        <w:tc>
          <w:tcPr>
            <w:tcW w:w="2016" w:type="dxa"/>
            <w:shd w:val="clear" w:color="auto" w:fill="F3F7FA"/>
            <w:vAlign w:val="center"/>
          </w:tcPr>
          <w:p w14:paraId="6788E36F">
            <w:pPr>
              <w:spacing w:after="20" w:line="240" w:lineRule="auto"/>
            </w:pPr>
            <w:r>
              <w:rPr>
                <w:rFonts w:ascii="Aptos" w:hAnsi="Aptos"/>
                <w:b w:val="0"/>
                <w:sz w:val="15"/>
              </w:rPr>
              <w:t>3,399,850</w:t>
            </w:r>
          </w:p>
        </w:tc>
        <w:tc>
          <w:tcPr>
            <w:tcW w:w="2016" w:type="dxa"/>
            <w:shd w:val="clear" w:color="auto" w:fill="F3F7FA"/>
            <w:vAlign w:val="center"/>
          </w:tcPr>
          <w:p w14:paraId="462EDA45">
            <w:pPr>
              <w:spacing w:after="20" w:line="240" w:lineRule="auto"/>
            </w:pPr>
            <w:r>
              <w:rPr>
                <w:rFonts w:ascii="Aptos" w:hAnsi="Aptos"/>
                <w:b w:val="0"/>
                <w:sz w:val="15"/>
              </w:rPr>
              <w:t>—</w:t>
            </w:r>
          </w:p>
        </w:tc>
        <w:tc>
          <w:tcPr>
            <w:tcW w:w="2016" w:type="dxa"/>
            <w:shd w:val="clear" w:color="auto" w:fill="F3F7FA"/>
            <w:vAlign w:val="center"/>
          </w:tcPr>
          <w:p w14:paraId="77E7D33C">
            <w:pPr>
              <w:spacing w:after="20" w:line="240" w:lineRule="auto"/>
            </w:pPr>
            <w:r>
              <w:rPr>
                <w:rFonts w:ascii="Aptos" w:hAnsi="Aptos"/>
                <w:b w:val="0"/>
                <w:sz w:val="15"/>
              </w:rPr>
              <w:t>Imported source-stage population</w:t>
            </w:r>
          </w:p>
        </w:tc>
      </w:tr>
      <w:tr w14:paraId="3296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86D67C7">
            <w:pPr>
              <w:spacing w:after="20" w:line="240" w:lineRule="auto"/>
            </w:pPr>
            <w:r>
              <w:rPr>
                <w:rFonts w:ascii="Aptos" w:hAnsi="Aptos"/>
                <w:b/>
                <w:sz w:val="15"/>
              </w:rPr>
              <w:t>2. Cleaned</w:t>
            </w:r>
          </w:p>
        </w:tc>
        <w:tc>
          <w:tcPr>
            <w:tcW w:w="2016" w:type="dxa"/>
            <w:vAlign w:val="center"/>
          </w:tcPr>
          <w:p w14:paraId="6EBDAB13">
            <w:pPr>
              <w:spacing w:after="20" w:line="240" w:lineRule="auto"/>
            </w:pPr>
            <w:r>
              <w:rPr>
                <w:rFonts w:ascii="Aptos" w:hAnsi="Aptos"/>
                <w:b w:val="0"/>
                <w:sz w:val="15"/>
              </w:rPr>
              <w:t>analytics_yellow_taxi_cleaned</w:t>
            </w:r>
          </w:p>
        </w:tc>
        <w:tc>
          <w:tcPr>
            <w:tcW w:w="2016" w:type="dxa"/>
            <w:vAlign w:val="center"/>
          </w:tcPr>
          <w:p w14:paraId="20D43C57">
            <w:pPr>
              <w:spacing w:after="20" w:line="240" w:lineRule="auto"/>
            </w:pPr>
            <w:r>
              <w:rPr>
                <w:rFonts w:ascii="Aptos" w:hAnsi="Aptos"/>
                <w:b w:val="0"/>
                <w:sz w:val="15"/>
              </w:rPr>
              <w:t>3,359,607</w:t>
            </w:r>
          </w:p>
        </w:tc>
        <w:tc>
          <w:tcPr>
            <w:tcW w:w="2016" w:type="dxa"/>
            <w:vAlign w:val="center"/>
          </w:tcPr>
          <w:p w14:paraId="386454C5">
            <w:pPr>
              <w:spacing w:after="20" w:line="240" w:lineRule="auto"/>
            </w:pPr>
            <w:r>
              <w:rPr>
                <w:rFonts w:ascii="Aptos" w:hAnsi="Aptos"/>
                <w:b w:val="0"/>
                <w:sz w:val="15"/>
              </w:rPr>
              <w:t>−40,243</w:t>
            </w:r>
          </w:p>
        </w:tc>
        <w:tc>
          <w:tcPr>
            <w:tcW w:w="2016" w:type="dxa"/>
            <w:vAlign w:val="center"/>
          </w:tcPr>
          <w:p w14:paraId="67B8CCC6">
            <w:pPr>
              <w:spacing w:after="20" w:line="240" w:lineRule="auto"/>
            </w:pPr>
            <w:r>
              <w:rPr>
                <w:rFonts w:ascii="Aptos" w:hAnsi="Aptos"/>
                <w:b w:val="0"/>
                <w:sz w:val="15"/>
              </w:rPr>
              <w:t>Timestamp and negative-duration cleaning rules</w:t>
            </w:r>
          </w:p>
        </w:tc>
      </w:tr>
      <w:tr w14:paraId="7248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A"/>
            <w:vAlign w:val="center"/>
          </w:tcPr>
          <w:p w14:paraId="36F9EC99">
            <w:pPr>
              <w:spacing w:after="20" w:line="240" w:lineRule="auto"/>
            </w:pPr>
            <w:r>
              <w:rPr>
                <w:rFonts w:ascii="Aptos" w:hAnsi="Aptos"/>
                <w:b/>
                <w:sz w:val="15"/>
              </w:rPr>
              <w:t>3. Final</w:t>
            </w:r>
          </w:p>
        </w:tc>
        <w:tc>
          <w:tcPr>
            <w:tcW w:w="2016" w:type="dxa"/>
            <w:shd w:val="clear" w:color="auto" w:fill="F3F7FA"/>
            <w:vAlign w:val="center"/>
          </w:tcPr>
          <w:p w14:paraId="1E9D3B67">
            <w:pPr>
              <w:spacing w:after="20" w:line="240" w:lineRule="auto"/>
            </w:pPr>
            <w:r>
              <w:rPr>
                <w:rFonts w:ascii="Aptos" w:hAnsi="Aptos"/>
                <w:b w:val="0"/>
                <w:sz w:val="15"/>
              </w:rPr>
              <w:t>analytics_yellow_taxi_final</w:t>
            </w:r>
          </w:p>
        </w:tc>
        <w:tc>
          <w:tcPr>
            <w:tcW w:w="2016" w:type="dxa"/>
            <w:shd w:val="clear" w:color="auto" w:fill="F3F7FA"/>
            <w:vAlign w:val="center"/>
          </w:tcPr>
          <w:p w14:paraId="23700C5A">
            <w:pPr>
              <w:spacing w:after="20" w:line="240" w:lineRule="auto"/>
            </w:pPr>
            <w:r>
              <w:rPr>
                <w:rFonts w:ascii="Aptos" w:hAnsi="Aptos"/>
                <w:b w:val="0"/>
                <w:sz w:val="15"/>
              </w:rPr>
              <w:t>3,355,645</w:t>
            </w:r>
          </w:p>
        </w:tc>
        <w:tc>
          <w:tcPr>
            <w:tcW w:w="2016" w:type="dxa"/>
            <w:shd w:val="clear" w:color="auto" w:fill="F3F7FA"/>
            <w:vAlign w:val="center"/>
          </w:tcPr>
          <w:p w14:paraId="35506A3E">
            <w:pPr>
              <w:spacing w:after="20" w:line="240" w:lineRule="auto"/>
            </w:pPr>
            <w:r>
              <w:rPr>
                <w:rFonts w:ascii="Aptos" w:hAnsi="Aptos"/>
                <w:b w:val="0"/>
                <w:sz w:val="15"/>
              </w:rPr>
              <w:t>−3,962</w:t>
            </w:r>
          </w:p>
        </w:tc>
        <w:tc>
          <w:tcPr>
            <w:tcW w:w="2016" w:type="dxa"/>
            <w:shd w:val="clear" w:color="auto" w:fill="F3F7FA"/>
            <w:vAlign w:val="center"/>
          </w:tcPr>
          <w:p w14:paraId="1EB12404">
            <w:pPr>
              <w:spacing w:after="20" w:line="240" w:lineRule="auto"/>
            </w:pPr>
            <w:r>
              <w:rPr>
                <w:rFonts w:ascii="Aptos" w:hAnsi="Aptos"/>
                <w:b w:val="0"/>
                <w:sz w:val="15"/>
              </w:rPr>
              <w:t>Applies the project-defined &gt;120-minute duration threshold</w:t>
            </w:r>
          </w:p>
        </w:tc>
      </w:tr>
      <w:tr w14:paraId="6A33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784C2A2">
            <w:pPr>
              <w:spacing w:after="20" w:line="240" w:lineRule="auto"/>
            </w:pPr>
            <w:r>
              <w:rPr>
                <w:rFonts w:ascii="Aptos" w:hAnsi="Aptos"/>
                <w:b/>
                <w:sz w:val="15"/>
              </w:rPr>
              <w:t>4. Business</w:t>
            </w:r>
          </w:p>
        </w:tc>
        <w:tc>
          <w:tcPr>
            <w:tcW w:w="2016" w:type="dxa"/>
            <w:vAlign w:val="center"/>
          </w:tcPr>
          <w:p w14:paraId="5E80C7F2">
            <w:pPr>
              <w:spacing w:after="20" w:line="240" w:lineRule="auto"/>
            </w:pPr>
            <w:r>
              <w:rPr>
                <w:rFonts w:ascii="Aptos" w:hAnsi="Aptos"/>
                <w:b w:val="0"/>
                <w:sz w:val="15"/>
              </w:rPr>
              <w:t>analytics_yellow_taxi_business</w:t>
            </w:r>
          </w:p>
        </w:tc>
        <w:tc>
          <w:tcPr>
            <w:tcW w:w="2016" w:type="dxa"/>
            <w:vAlign w:val="center"/>
          </w:tcPr>
          <w:p w14:paraId="37EF38AE">
            <w:pPr>
              <w:spacing w:after="20" w:line="240" w:lineRule="auto"/>
            </w:pPr>
            <w:r>
              <w:rPr>
                <w:rFonts w:ascii="Aptos" w:hAnsi="Aptos"/>
                <w:b w:val="0"/>
                <w:sz w:val="15"/>
              </w:rPr>
              <w:t>3,329,782</w:t>
            </w:r>
          </w:p>
        </w:tc>
        <w:tc>
          <w:tcPr>
            <w:tcW w:w="2016" w:type="dxa"/>
            <w:vAlign w:val="center"/>
          </w:tcPr>
          <w:p w14:paraId="2E3FEAF6">
            <w:pPr>
              <w:spacing w:after="20" w:line="240" w:lineRule="auto"/>
            </w:pPr>
            <w:r>
              <w:rPr>
                <w:rFonts w:ascii="Aptos" w:hAnsi="Aptos"/>
                <w:b w:val="0"/>
                <w:sz w:val="15"/>
              </w:rPr>
              <w:t>−25,863</w:t>
            </w:r>
          </w:p>
        </w:tc>
        <w:tc>
          <w:tcPr>
            <w:tcW w:w="2016" w:type="dxa"/>
            <w:vAlign w:val="center"/>
          </w:tcPr>
          <w:p w14:paraId="63B29F01">
            <w:pPr>
              <w:spacing w:after="20" w:line="240" w:lineRule="auto"/>
            </w:pPr>
            <w:r>
              <w:rPr>
                <w:rFonts w:ascii="Aptos" w:hAnsi="Aptos"/>
                <w:b w:val="0"/>
                <w:sz w:val="15"/>
              </w:rPr>
              <w:t>Excludes February 23 from business comparisons</w:t>
            </w:r>
          </w:p>
        </w:tc>
      </w:tr>
    </w:tbl>
    <w:p w14:paraId="4E1E95FE">
      <w:pPr>
        <w:pStyle w:val="2"/>
      </w:pPr>
      <w:r>
        <w:t>3. Documented transformation rules</w:t>
      </w:r>
    </w:p>
    <w:p w14:paraId="6FA39552">
      <w:pPr>
        <w:pStyle w:val="3"/>
      </w:pPr>
      <w:r>
        <w:t>Vendor 7 identical-timestamp rule — 40,241 rows</w:t>
      </w:r>
    </w:p>
    <w:p w14:paraId="1503BB49">
      <w:r>
        <w:t>The project documentation records a rule targeting Vendor 7 rows with identical timestamps. Timestamp equality alone does not establish that every matching row is a duplicate. Preserve the implemented predicate and describe the rule as written unless the SQL confirms a more specific interpretation.</w:t>
      </w:r>
    </w:p>
    <w:p w14:paraId="20CDBA9D">
      <w:pPr>
        <w:pStyle w:val="3"/>
      </w:pPr>
      <w:r>
        <w:t>Negative trip duration — 2 rows</w:t>
      </w:r>
    </w:p>
    <w:p w14:paraId="2B546E6C">
      <w:r>
        <w:t>Two records are documented as having negative elapsed time and are removed during row-level cleaning. The exact duration expression should be taken from the implemented SQL rather than reconstructed from assumptions.</w:t>
      </w:r>
    </w:p>
    <w:p w14:paraId="16CE4106">
      <w:pPr>
        <w:pStyle w:val="3"/>
      </w:pPr>
      <w:r>
        <w:t>Duration greater than 120 minutes — 3,962 rows</w:t>
      </w:r>
    </w:p>
    <w:p w14:paraId="7663E7A6">
      <w:r>
        <w:t>The final-stage reduction is documented as trips exceeding the project's 120-minute threshold. This is a project-defined analytical filter, not a claim that all long trips are invalid under a universal TLC rule.</w:t>
      </w:r>
    </w:p>
    <w:p w14:paraId="49BEA6A6">
      <w:pPr>
        <w:pStyle w:val="3"/>
      </w:pPr>
      <w:r>
        <w:t>February 23 coverage-day exclusion — 25,863 rows</w:t>
      </w:r>
    </w:p>
    <w:p w14:paraId="192805DF">
      <w:r>
        <w:t>February 23, 2026 is omitted from the business-analysis population because its documented trip volume was unusually low compared with adjacent days, indicating a likely coverage anomaly. The evidence supports the project's analytical exclusion decision but does not independently prove the underlying cause.</w:t>
      </w:r>
    </w:p>
    <w:p w14:paraId="706B5911">
      <w:pPr>
        <w:pStyle w:val="2"/>
      </w:pPr>
      <w:r>
        <w:t>4. Row-count reconciliation</w:t>
      </w:r>
    </w:p>
    <w:p w14:paraId="44266A63">
      <w:r>
        <w:t>The source-to-business difference is 70,068 records, approximately 2.06% of the source population. The recorded stage reductions sum to the same total:</w:t>
      </w:r>
    </w:p>
    <w:p w14:paraId="147E8857">
      <w:pPr>
        <w:jc w:val="center"/>
      </w:pPr>
      <w:r>
        <w:rPr>
          <w:b/>
          <w:color w:val="008C95"/>
          <w:sz w:val="26"/>
        </w:rPr>
        <w:t>40,243 + 3,962 + 25,863 = 70,068</w:t>
      </w:r>
    </w:p>
    <w:p w14:paraId="5576C9EA">
      <w:r>
        <w:t>This is a count reconciliation of the documented stages. It should not be described as 70,068 erroneous records: the reductions include row-level cleaning, a project-defined duration threshold, and a day-level comparability decision.</w:t>
      </w:r>
    </w:p>
    <w:p w14:paraId="5546D873">
      <w:pPr>
        <w:pStyle w:val="2"/>
      </w:pPr>
      <w:r>
        <w:t>5. February 23 coverage decision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23E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65CC80B5">
            <w:pPr>
              <w:spacing w:after="20" w:line="240" w:lineRule="auto"/>
            </w:pPr>
            <w:r>
              <w:rPr>
                <w:rFonts w:ascii="Aptos" w:hAnsi="Aptos"/>
                <w:b/>
                <w:color w:val="FFFFFF"/>
                <w:sz w:val="16"/>
              </w:rPr>
              <w:t>Date</w:t>
            </w:r>
          </w:p>
        </w:tc>
        <w:tc>
          <w:tcPr>
            <w:tcW w:w="3360" w:type="dxa"/>
            <w:shd w:val="clear" w:color="auto" w:fill="17365D"/>
            <w:vAlign w:val="center"/>
          </w:tcPr>
          <w:p w14:paraId="39216581">
            <w:pPr>
              <w:spacing w:after="20" w:line="240" w:lineRule="auto"/>
            </w:pPr>
            <w:r>
              <w:rPr>
                <w:rFonts w:ascii="Aptos" w:hAnsi="Aptos"/>
                <w:b/>
                <w:color w:val="FFFFFF"/>
                <w:sz w:val="16"/>
              </w:rPr>
              <w:t>Documented source rows</w:t>
            </w:r>
          </w:p>
        </w:tc>
        <w:tc>
          <w:tcPr>
            <w:tcW w:w="3360" w:type="dxa"/>
            <w:shd w:val="clear" w:color="auto" w:fill="17365D"/>
            <w:vAlign w:val="center"/>
          </w:tcPr>
          <w:p w14:paraId="29A12487">
            <w:pPr>
              <w:spacing w:after="20" w:line="240" w:lineRule="auto"/>
            </w:pPr>
            <w:r>
              <w:rPr>
                <w:rFonts w:ascii="Aptos" w:hAnsi="Aptos"/>
                <w:b/>
                <w:color w:val="FFFFFF"/>
                <w:sz w:val="16"/>
              </w:rPr>
              <w:t>Interpretation</w:t>
            </w:r>
          </w:p>
        </w:tc>
      </w:tr>
      <w:tr w14:paraId="439E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vAlign w:val="center"/>
          </w:tcPr>
          <w:p w14:paraId="31CD9FE4">
            <w:pPr>
              <w:spacing w:after="20" w:line="240" w:lineRule="auto"/>
            </w:pPr>
            <w:r>
              <w:rPr>
                <w:rFonts w:ascii="Aptos" w:hAnsi="Aptos"/>
                <w:b w:val="0"/>
                <w:sz w:val="16"/>
              </w:rPr>
              <w:t>February 22, 2026</w:t>
            </w:r>
          </w:p>
        </w:tc>
        <w:tc>
          <w:tcPr>
            <w:tcW w:w="3360" w:type="dxa"/>
            <w:shd w:val="clear" w:color="auto" w:fill="F3F7FA"/>
            <w:vAlign w:val="center"/>
          </w:tcPr>
          <w:p w14:paraId="04E6DB0C">
            <w:pPr>
              <w:spacing w:after="20" w:line="240" w:lineRule="auto"/>
            </w:pPr>
            <w:r>
              <w:rPr>
                <w:rFonts w:ascii="Aptos" w:hAnsi="Aptos"/>
                <w:b w:val="0"/>
                <w:sz w:val="16"/>
              </w:rPr>
              <w:t>85,555</w:t>
            </w:r>
          </w:p>
        </w:tc>
        <w:tc>
          <w:tcPr>
            <w:tcW w:w="3360" w:type="dxa"/>
            <w:shd w:val="clear" w:color="auto" w:fill="F3F7FA"/>
            <w:vAlign w:val="center"/>
          </w:tcPr>
          <w:p w14:paraId="401C8264">
            <w:pPr>
              <w:spacing w:after="20" w:line="240" w:lineRule="auto"/>
            </w:pPr>
            <w:r>
              <w:rPr>
                <w:rFonts w:ascii="Aptos" w:hAnsi="Aptos"/>
                <w:b w:val="0"/>
                <w:sz w:val="16"/>
              </w:rPr>
              <w:t>Adjacent-day reference</w:t>
            </w:r>
          </w:p>
        </w:tc>
      </w:tr>
      <w:tr w14:paraId="0386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076C160">
            <w:pPr>
              <w:spacing w:after="20" w:line="240" w:lineRule="auto"/>
            </w:pPr>
            <w:r>
              <w:rPr>
                <w:rFonts w:ascii="Aptos" w:hAnsi="Aptos"/>
                <w:b w:val="0"/>
                <w:sz w:val="16"/>
              </w:rPr>
              <w:t>February 23, 2026</w:t>
            </w:r>
          </w:p>
        </w:tc>
        <w:tc>
          <w:tcPr>
            <w:tcW w:w="3360" w:type="dxa"/>
            <w:vAlign w:val="center"/>
          </w:tcPr>
          <w:p w14:paraId="4086EC3E">
            <w:pPr>
              <w:spacing w:after="20" w:line="240" w:lineRule="auto"/>
            </w:pPr>
            <w:r>
              <w:rPr>
                <w:rFonts w:ascii="Aptos" w:hAnsi="Aptos"/>
                <w:b w:val="0"/>
                <w:sz w:val="16"/>
              </w:rPr>
              <w:t>26,019</w:t>
            </w:r>
          </w:p>
        </w:tc>
        <w:tc>
          <w:tcPr>
            <w:tcW w:w="3360" w:type="dxa"/>
            <w:vAlign w:val="center"/>
          </w:tcPr>
          <w:p w14:paraId="798EB34F">
            <w:pPr>
              <w:spacing w:after="20" w:line="240" w:lineRule="auto"/>
            </w:pPr>
            <w:r>
              <w:rPr>
                <w:rFonts w:ascii="Aptos" w:hAnsi="Aptos"/>
                <w:b w:val="0"/>
                <w:sz w:val="16"/>
              </w:rPr>
              <w:t>Unusually low source volume; likely coverage anomaly</w:t>
            </w:r>
          </w:p>
        </w:tc>
      </w:tr>
      <w:tr w14:paraId="47D3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vAlign w:val="center"/>
          </w:tcPr>
          <w:p w14:paraId="1130A651">
            <w:pPr>
              <w:spacing w:after="20" w:line="240" w:lineRule="auto"/>
            </w:pPr>
            <w:r>
              <w:rPr>
                <w:rFonts w:ascii="Aptos" w:hAnsi="Aptos"/>
                <w:b w:val="0"/>
                <w:sz w:val="16"/>
              </w:rPr>
              <w:t>February 24, 2026</w:t>
            </w:r>
          </w:p>
        </w:tc>
        <w:tc>
          <w:tcPr>
            <w:tcW w:w="3360" w:type="dxa"/>
            <w:shd w:val="clear" w:color="auto" w:fill="F3F7FA"/>
            <w:vAlign w:val="center"/>
          </w:tcPr>
          <w:p w14:paraId="2A7BCF0B">
            <w:pPr>
              <w:spacing w:after="20" w:line="240" w:lineRule="auto"/>
            </w:pPr>
            <w:r>
              <w:rPr>
                <w:rFonts w:ascii="Aptos" w:hAnsi="Aptos"/>
                <w:b w:val="0"/>
                <w:sz w:val="16"/>
              </w:rPr>
              <w:t>104,315</w:t>
            </w:r>
          </w:p>
        </w:tc>
        <w:tc>
          <w:tcPr>
            <w:tcW w:w="3360" w:type="dxa"/>
            <w:shd w:val="clear" w:color="auto" w:fill="F3F7FA"/>
            <w:vAlign w:val="center"/>
          </w:tcPr>
          <w:p w14:paraId="468947CC">
            <w:pPr>
              <w:spacing w:after="20" w:line="240" w:lineRule="auto"/>
            </w:pPr>
            <w:r>
              <w:rPr>
                <w:rFonts w:ascii="Aptos" w:hAnsi="Aptos"/>
                <w:b w:val="0"/>
                <w:sz w:val="16"/>
              </w:rPr>
              <w:t>Adjacent-day reference</w:t>
            </w:r>
          </w:p>
        </w:tc>
      </w:tr>
    </w:tbl>
    <w:p w14:paraId="3AA6BB66">
      <w:r>
        <w:t>The existing project notes record 156 February 23 rows removed under the Vendor 7 timestamp rule, leaving 25,863 at the relevant stage. The business table has 27 days of coverage and the February 23 query returned zero rows. The adjacent-day comparison is evidence of an anomaly, not proof of its exact cause.</w:t>
      </w:r>
    </w:p>
    <w:p w14:paraId="6204C3B8">
      <w:pPr>
        <w:pStyle w:val="2"/>
      </w:pPr>
      <w:r>
        <w:t>6. Business-analysis outputs</w:t>
      </w:r>
    </w:p>
    <w:p w14:paraId="08E6B445">
      <w:r>
        <w:t>The table analytics_yellow_taxi_business is the documented population for the project's business KPIs and Power BI analysis. The following previously recorded summary metrics belong to this analytical layer: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81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7365D"/>
            <w:vAlign w:val="center"/>
          </w:tcPr>
          <w:p w14:paraId="5E45E9A2">
            <w:pPr>
              <w:spacing w:after="20" w:line="240" w:lineRule="auto"/>
            </w:pPr>
            <w:r>
              <w:rPr>
                <w:rFonts w:ascii="Aptos" w:hAnsi="Aptos"/>
                <w:b/>
                <w:color w:val="FFFFFF"/>
                <w:sz w:val="16"/>
              </w:rPr>
              <w:t>Metric</w:t>
            </w:r>
          </w:p>
        </w:tc>
        <w:tc>
          <w:tcPr>
            <w:tcW w:w="3360" w:type="dxa"/>
            <w:shd w:val="clear" w:color="auto" w:fill="17365D"/>
            <w:vAlign w:val="center"/>
          </w:tcPr>
          <w:p w14:paraId="5F89A4C7">
            <w:pPr>
              <w:spacing w:after="20" w:line="240" w:lineRule="auto"/>
            </w:pPr>
            <w:r>
              <w:rPr>
                <w:rFonts w:ascii="Aptos" w:hAnsi="Aptos"/>
                <w:b/>
                <w:color w:val="FFFFFF"/>
                <w:sz w:val="16"/>
              </w:rPr>
              <w:t>Documented value</w:t>
            </w:r>
          </w:p>
        </w:tc>
        <w:tc>
          <w:tcPr>
            <w:tcW w:w="3360" w:type="dxa"/>
            <w:shd w:val="clear" w:color="auto" w:fill="17365D"/>
            <w:vAlign w:val="center"/>
          </w:tcPr>
          <w:p w14:paraId="6E780F21">
            <w:pPr>
              <w:spacing w:after="20" w:line="240" w:lineRule="auto"/>
            </w:pPr>
            <w:r>
              <w:rPr>
                <w:rFonts w:ascii="Aptos" w:hAnsi="Aptos"/>
                <w:b/>
                <w:color w:val="FFFFFF"/>
                <w:sz w:val="16"/>
              </w:rPr>
              <w:t>Interpretation</w:t>
            </w:r>
          </w:p>
        </w:tc>
      </w:tr>
      <w:tr w14:paraId="759D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vAlign w:val="center"/>
          </w:tcPr>
          <w:p w14:paraId="651EE6C9">
            <w:pPr>
              <w:spacing w:after="20" w:line="240" w:lineRule="auto"/>
            </w:pPr>
            <w:r>
              <w:rPr>
                <w:rFonts w:ascii="Aptos" w:hAnsi="Aptos"/>
                <w:b w:val="0"/>
                <w:sz w:val="16"/>
              </w:rPr>
              <w:t>Business-analysis trips</w:t>
            </w:r>
          </w:p>
        </w:tc>
        <w:tc>
          <w:tcPr>
            <w:tcW w:w="3360" w:type="dxa"/>
            <w:shd w:val="clear" w:color="auto" w:fill="F3F7FA"/>
            <w:vAlign w:val="center"/>
          </w:tcPr>
          <w:p w14:paraId="7F21696C">
            <w:pPr>
              <w:spacing w:after="20" w:line="240" w:lineRule="auto"/>
            </w:pPr>
            <w:r>
              <w:rPr>
                <w:rFonts w:ascii="Aptos" w:hAnsi="Aptos"/>
                <w:b w:val="0"/>
                <w:sz w:val="16"/>
              </w:rPr>
              <w:t>3,329,782</w:t>
            </w:r>
          </w:p>
        </w:tc>
        <w:tc>
          <w:tcPr>
            <w:tcW w:w="3360" w:type="dxa"/>
            <w:shd w:val="clear" w:color="auto" w:fill="F3F7FA"/>
            <w:vAlign w:val="center"/>
          </w:tcPr>
          <w:p w14:paraId="54F733D1">
            <w:pPr>
              <w:spacing w:after="20" w:line="240" w:lineRule="auto"/>
            </w:pPr>
            <w:r>
              <w:rPr>
                <w:rFonts w:ascii="Aptos" w:hAnsi="Aptos"/>
                <w:b w:val="0"/>
                <w:sz w:val="16"/>
              </w:rPr>
              <w:t>Curated trip population</w:t>
            </w:r>
          </w:p>
        </w:tc>
      </w:tr>
      <w:tr w14:paraId="209F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5B05097">
            <w:pPr>
              <w:spacing w:after="20" w:line="240" w:lineRule="auto"/>
            </w:pPr>
            <w:r>
              <w:rPr>
                <w:rFonts w:ascii="Aptos" w:hAnsi="Aptos"/>
                <w:b w:val="0"/>
                <w:sz w:val="16"/>
              </w:rPr>
              <w:t>Total amount</w:t>
            </w:r>
          </w:p>
        </w:tc>
        <w:tc>
          <w:tcPr>
            <w:tcW w:w="3360" w:type="dxa"/>
            <w:vAlign w:val="center"/>
          </w:tcPr>
          <w:p w14:paraId="37A5426D">
            <w:pPr>
              <w:spacing w:after="20" w:line="240" w:lineRule="auto"/>
            </w:pPr>
            <w:r>
              <w:rPr>
                <w:rFonts w:ascii="Aptos" w:hAnsi="Aptos"/>
                <w:b w:val="0"/>
                <w:sz w:val="16"/>
              </w:rPr>
              <w:t>$100,340,136.16</w:t>
            </w:r>
          </w:p>
        </w:tc>
        <w:tc>
          <w:tcPr>
            <w:tcW w:w="3360" w:type="dxa"/>
            <w:vAlign w:val="center"/>
          </w:tcPr>
          <w:p w14:paraId="22CC7F7F">
            <w:pPr>
              <w:spacing w:after="20" w:line="240" w:lineRule="auto"/>
            </w:pPr>
            <w:r>
              <w:rPr>
                <w:rFonts w:ascii="Aptos" w:hAnsi="Aptos"/>
                <w:b w:val="0"/>
                <w:sz w:val="16"/>
              </w:rPr>
              <w:t>Sum of total_amount</w:t>
            </w:r>
          </w:p>
        </w:tc>
      </w:tr>
      <w:tr w14:paraId="7B0B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vAlign w:val="center"/>
          </w:tcPr>
          <w:p w14:paraId="6EC84D2C">
            <w:pPr>
              <w:spacing w:after="20" w:line="240" w:lineRule="auto"/>
            </w:pPr>
            <w:r>
              <w:rPr>
                <w:rFonts w:ascii="Aptos" w:hAnsi="Aptos"/>
                <w:b w:val="0"/>
                <w:sz w:val="16"/>
              </w:rPr>
              <w:t>Average total amount</w:t>
            </w:r>
          </w:p>
        </w:tc>
        <w:tc>
          <w:tcPr>
            <w:tcW w:w="3360" w:type="dxa"/>
            <w:shd w:val="clear" w:color="auto" w:fill="F3F7FA"/>
            <w:vAlign w:val="center"/>
          </w:tcPr>
          <w:p w14:paraId="2A14CF11">
            <w:pPr>
              <w:spacing w:after="20" w:line="240" w:lineRule="auto"/>
            </w:pPr>
            <w:r>
              <w:rPr>
                <w:rFonts w:ascii="Aptos" w:hAnsi="Aptos"/>
                <w:b w:val="0"/>
                <w:sz w:val="16"/>
              </w:rPr>
              <w:t>$30.13</w:t>
            </w:r>
          </w:p>
        </w:tc>
        <w:tc>
          <w:tcPr>
            <w:tcW w:w="3360" w:type="dxa"/>
            <w:shd w:val="clear" w:color="auto" w:fill="F3F7FA"/>
            <w:vAlign w:val="center"/>
          </w:tcPr>
          <w:p w14:paraId="5B3D9AD3">
            <w:pPr>
              <w:spacing w:after="20" w:line="240" w:lineRule="auto"/>
            </w:pPr>
            <w:r>
              <w:rPr>
                <w:rFonts w:ascii="Aptos" w:hAnsi="Aptos"/>
                <w:b w:val="0"/>
                <w:sz w:val="16"/>
              </w:rPr>
              <w:t>Average total_amount per trip</w:t>
            </w:r>
          </w:p>
        </w:tc>
      </w:tr>
      <w:tr w14:paraId="19DD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7DE2853">
            <w:pPr>
              <w:spacing w:after="20" w:line="240" w:lineRule="auto"/>
            </w:pPr>
            <w:r>
              <w:rPr>
                <w:rFonts w:ascii="Aptos" w:hAnsi="Aptos"/>
                <w:b w:val="0"/>
                <w:sz w:val="16"/>
              </w:rPr>
              <w:t>Aggregate revenue per mile</w:t>
            </w:r>
          </w:p>
        </w:tc>
        <w:tc>
          <w:tcPr>
            <w:tcW w:w="3360" w:type="dxa"/>
            <w:vAlign w:val="center"/>
          </w:tcPr>
          <w:p w14:paraId="7EE5A0FF">
            <w:pPr>
              <w:spacing w:after="20" w:line="240" w:lineRule="auto"/>
            </w:pPr>
            <w:r>
              <w:rPr>
                <w:rFonts w:ascii="Aptos" w:hAnsi="Aptos"/>
                <w:b w:val="0"/>
                <w:sz w:val="16"/>
              </w:rPr>
              <w:t>$4.78</w:t>
            </w:r>
          </w:p>
        </w:tc>
        <w:tc>
          <w:tcPr>
            <w:tcW w:w="3360" w:type="dxa"/>
            <w:vAlign w:val="center"/>
          </w:tcPr>
          <w:p w14:paraId="0BD02461">
            <w:pPr>
              <w:spacing w:after="20" w:line="240" w:lineRule="auto"/>
            </w:pPr>
            <w:r>
              <w:rPr>
                <w:rFonts w:ascii="Aptos" w:hAnsi="Aptos"/>
                <w:b w:val="0"/>
                <w:sz w:val="16"/>
              </w:rPr>
              <w:t>SUM(total_amount) / SUM(trip_distance)</w:t>
            </w:r>
          </w:p>
        </w:tc>
      </w:tr>
      <w:tr w14:paraId="6C56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vAlign w:val="center"/>
          </w:tcPr>
          <w:p w14:paraId="6A2CA424">
            <w:pPr>
              <w:spacing w:after="20" w:line="240" w:lineRule="auto"/>
            </w:pPr>
            <w:r>
              <w:rPr>
                <w:rFonts w:ascii="Aptos" w:hAnsi="Aptos"/>
                <w:b w:val="0"/>
                <w:sz w:val="16"/>
              </w:rPr>
              <w:t>Average trip duration</w:t>
            </w:r>
          </w:p>
        </w:tc>
        <w:tc>
          <w:tcPr>
            <w:tcW w:w="3360" w:type="dxa"/>
            <w:shd w:val="clear" w:color="auto" w:fill="F3F7FA"/>
            <w:vAlign w:val="center"/>
          </w:tcPr>
          <w:p w14:paraId="56585B46">
            <w:pPr>
              <w:spacing w:after="20" w:line="240" w:lineRule="auto"/>
            </w:pPr>
            <w:r>
              <w:rPr>
                <w:rFonts w:ascii="Aptos" w:hAnsi="Aptos"/>
                <w:b w:val="0"/>
                <w:sz w:val="16"/>
              </w:rPr>
              <w:t>17.64 minutes</w:t>
            </w:r>
          </w:p>
        </w:tc>
        <w:tc>
          <w:tcPr>
            <w:tcW w:w="3360" w:type="dxa"/>
            <w:shd w:val="clear" w:color="auto" w:fill="F3F7FA"/>
            <w:vAlign w:val="center"/>
          </w:tcPr>
          <w:p w14:paraId="02F2D133">
            <w:pPr>
              <w:spacing w:after="20" w:line="240" w:lineRule="auto"/>
            </w:pPr>
            <w:r>
              <w:rPr>
                <w:rFonts w:ascii="Aptos" w:hAnsi="Aptos"/>
                <w:b w:val="0"/>
                <w:sz w:val="16"/>
              </w:rPr>
              <w:t>Project-recorded average duration</w:t>
            </w:r>
          </w:p>
        </w:tc>
      </w:tr>
      <w:tr w14:paraId="378B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F9827C8">
            <w:pPr>
              <w:spacing w:after="20" w:line="240" w:lineRule="auto"/>
            </w:pPr>
            <w:r>
              <w:rPr>
                <w:rFonts w:ascii="Aptos" w:hAnsi="Aptos"/>
                <w:b w:val="0"/>
                <w:sz w:val="16"/>
              </w:rPr>
              <w:t>JFK + LaGuardia pickup revenue</w:t>
            </w:r>
          </w:p>
        </w:tc>
        <w:tc>
          <w:tcPr>
            <w:tcW w:w="3360" w:type="dxa"/>
            <w:vAlign w:val="center"/>
          </w:tcPr>
          <w:p w14:paraId="3DF2C852">
            <w:pPr>
              <w:spacing w:after="20" w:line="240" w:lineRule="auto"/>
            </w:pPr>
            <w:r>
              <w:rPr>
                <w:rFonts w:ascii="Aptos" w:hAnsi="Aptos"/>
                <w:b w:val="0"/>
                <w:sz w:val="16"/>
              </w:rPr>
              <w:t>Approximately $14.33M</w:t>
            </w:r>
          </w:p>
        </w:tc>
        <w:tc>
          <w:tcPr>
            <w:tcW w:w="3360" w:type="dxa"/>
            <w:vAlign w:val="center"/>
          </w:tcPr>
          <w:p w14:paraId="5B475CDB">
            <w:pPr>
              <w:spacing w:after="20" w:line="240" w:lineRule="auto"/>
            </w:pPr>
            <w:r>
              <w:rPr>
                <w:rFonts w:ascii="Aptos" w:hAnsi="Aptos"/>
                <w:b w:val="0"/>
                <w:sz w:val="16"/>
              </w:rPr>
              <w:t>Pickup-zone revenue; not a complete airport-trip measure</w:t>
            </w:r>
          </w:p>
        </w:tc>
      </w:tr>
    </w:tbl>
    <w:p w14:paraId="73543AC5">
      <w:r>
        <w:t>Other documented analytical tables include analytics_daily_summary, analytics_hourly_summary, analytics_pickup_location_summary, route_directionality_analysis, revenue_scenario_analysis, revenue_scenarios, and taxi_zone_lookup. Their exact SQL definitions and join keys are not reproduced here because they have not been provided as source SQL in this drafting step.</w:t>
      </w:r>
      <w:bookmarkStart w:id="0" w:name="_GoBack"/>
      <w:bookmarkEnd w:id="0"/>
    </w:p>
    <w:sectPr>
      <w:headerReference r:id="rId5" w:type="default"/>
      <w:footerReference r:id="rId6"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4AFCD">
    <w:pPr>
      <w:pStyle w:val="18"/>
      <w:jc w:val="center"/>
    </w:pPr>
    <w:r>
      <w:rPr>
        <w:color w:val="5B6573"/>
        <w:sz w:val="16"/>
      </w:rPr>
      <w:t>MySQL Workbench → Power BI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40A6B">
    <w:pPr>
      <w:pStyle w:val="19"/>
      <w:jc w:val="right"/>
    </w:pPr>
    <w:r>
      <w:rPr>
        <w:b/>
        <w:color w:val="008C95"/>
        <w:sz w:val="16"/>
      </w:rPr>
      <w:t>NYC YELLOW TAXI ANALYTICS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61C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32B34"/>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8C95"/>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823</Words>
  <Characters>5463</Characters>
  <Lines>0</Lines>
  <Paragraphs>0</Paragraphs>
  <TotalTime>0</TotalTime>
  <ScaleCrop>false</ScaleCrop>
  <LinksUpToDate>false</LinksUpToDate>
  <CharactersWithSpaces>6190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abhin</cp:lastModifiedBy>
  <dcterms:modified xsi:type="dcterms:W3CDTF">2026-10-27T13:18:27Z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eyJoZGlkIjoiMDljYzUzMWQ4OWI0YzBkYjYzMDRhZTY5ZjZkYmFmYTgiLCJ1c2VySWQiOiI1NjcxMzIxMzUwOTUifQ==</vt:lpwstr>
  </property>
  <property fmtid="{D5CDD505-2E9C-101B-9397-08002B2CF9AE}" pid="3" name="KSOProductBuildVer">
    <vt:lpwstr>1033-12.1.0.29162</vt:lpwstr>
  </property>
  <property fmtid="{D5CDD505-2E9C-101B-9397-08002B2CF9AE}" pid="4" name="ICV">
    <vt:lpwstr>2B4153BB93C5498E84624F9F421109C6_13</vt:lpwstr>
  </property>
</Properties>
</file>