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14A28">
      <w:pPr>
        <w:jc w:val="center"/>
      </w:pPr>
      <w:r>
        <w:rPr>
          <w:rFonts w:ascii="Aptos Display" w:hAnsi="Aptos Display"/>
          <w:b/>
          <w:color w:val="17365D"/>
          <w:sz w:val="50"/>
        </w:rPr>
        <w:t>DASHBOARD SPECIFICATION</w:t>
      </w:r>
    </w:p>
    <w:p w14:paraId="2001426E">
      <w:pPr>
        <w:jc w:val="center"/>
      </w:pPr>
      <w:r>
        <w:rPr>
          <w:color w:val="008C95"/>
          <w:sz w:val="24"/>
        </w:rPr>
        <w:t>NYC Yellow Taxi Analytics | February 2026</w:t>
      </w:r>
    </w:p>
    <w:p w14:paraId="15D5307D">
      <w:pPr>
        <w:jc w:val="center"/>
      </w:pPr>
      <w:r>
        <w:rPr>
          <w:i/>
          <w:color w:val="5B6573"/>
          <w:sz w:val="18"/>
        </w:rPr>
        <w:t>Six-page analytical dashboard | Business KPIs, demand, geography, routes, and opportunities</w:t>
      </w:r>
    </w:p>
    <w:p w14:paraId="036D6390">
      <w:pPr>
        <w:pStyle w:val="2"/>
      </w:pPr>
      <w:r>
        <w:t>1. Purpose</w:t>
      </w:r>
    </w:p>
    <w:p w14:paraId="6356F617">
      <w:r>
        <w:t>This specification documents the purpose, scope, principal measures, and intended use of the six-page Power BI dashboard for the February 2026 NYC Yellow Taxi Analytics project. It describes the completed dashboard using the project's documented page inventory and analytical results.</w:t>
      </w:r>
    </w:p>
    <w:p w14:paraId="2BCFE33E">
      <w:r>
        <w:t>Source boundary: exact visual titles, slicer configurations, DAX expressions, interactions, refresh settings, and visual-by-visual field assignments are not asserted where they have not been documented.</w:t>
      </w:r>
    </w:p>
    <w:p w14:paraId="3B1E2500">
      <w:pPr>
        <w:pStyle w:val="2"/>
      </w:pPr>
      <w:r>
        <w:t>2. Dashboard objectives</w:t>
      </w:r>
    </w:p>
    <w:p w14:paraId="6D720377">
      <w:pPr>
        <w:pStyle w:val="23"/>
      </w:pPr>
      <w:r>
        <w:t>Summarize overall trip activity and revenue-related performance for the analysis period.</w:t>
      </w:r>
    </w:p>
    <w:p w14:paraId="323AC7C7">
      <w:pPr>
        <w:pStyle w:val="23"/>
      </w:pPr>
      <w:r>
        <w:t>Explore demand patterns by date and time.</w:t>
      </w:r>
    </w:p>
    <w:p w14:paraId="549907AC">
      <w:pPr>
        <w:pStyle w:val="23"/>
      </w:pPr>
      <w:r>
        <w:t>Compare pickup-location performance and geographic concentration.</w:t>
      </w:r>
    </w:p>
    <w:p w14:paraId="6BE726BE">
      <w:pPr>
        <w:pStyle w:val="23"/>
      </w:pPr>
      <w:r>
        <w:t>Examine route directionality and airport-related pickup revenue.</w:t>
      </w:r>
    </w:p>
    <w:p w14:paraId="41CE4735">
      <w:pPr>
        <w:pStyle w:val="23"/>
      </w:pPr>
      <w:r>
        <w:t>Translate observed patterns into business opportunities and illustrative scenario analysis.</w:t>
      </w:r>
    </w:p>
    <w:p w14:paraId="6FE04553">
      <w:pPr>
        <w:pStyle w:val="23"/>
      </w:pPr>
      <w:r>
        <w:t>Provide a consistent curated population across dashboard pages.</w:t>
      </w:r>
    </w:p>
    <w:p w14:paraId="3F3512BE">
      <w:pPr>
        <w:pStyle w:val="2"/>
      </w:pPr>
      <w:r>
        <w:t>3. Dashboard page inventory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0E6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17365D"/>
          </w:tcPr>
          <w:p w14:paraId="550BD7FD">
            <w:pPr>
              <w:spacing w:after="20" w:line="240" w:lineRule="auto"/>
            </w:pPr>
            <w:r>
              <w:rPr>
                <w:rFonts w:ascii="Aptos" w:hAnsi="Aptos"/>
                <w:b/>
                <w:color w:val="FFFFFF"/>
                <w:sz w:val="16"/>
              </w:rPr>
              <w:t>Page</w:t>
            </w:r>
          </w:p>
        </w:tc>
        <w:tc>
          <w:tcPr>
            <w:tcW w:w="3360" w:type="dxa"/>
            <w:shd w:val="clear" w:color="auto" w:fill="17365D"/>
          </w:tcPr>
          <w:p w14:paraId="1273D64E">
            <w:pPr>
              <w:spacing w:after="20" w:line="240" w:lineRule="auto"/>
            </w:pPr>
            <w:r>
              <w:rPr>
                <w:rFonts w:ascii="Aptos" w:hAnsi="Aptos"/>
                <w:b/>
                <w:color w:val="FFFFFF"/>
                <w:sz w:val="16"/>
              </w:rPr>
              <w:t>Purpose</w:t>
            </w:r>
          </w:p>
        </w:tc>
        <w:tc>
          <w:tcPr>
            <w:tcW w:w="3360" w:type="dxa"/>
            <w:shd w:val="clear" w:color="auto" w:fill="17365D"/>
          </w:tcPr>
          <w:p w14:paraId="3B282421">
            <w:pPr>
              <w:spacing w:after="20" w:line="240" w:lineRule="auto"/>
            </w:pPr>
            <w:r>
              <w:rPr>
                <w:rFonts w:ascii="Aptos" w:hAnsi="Aptos"/>
                <w:b/>
                <w:color w:val="FFFFFF"/>
                <w:sz w:val="16"/>
              </w:rPr>
              <w:t>Documented focus</w:t>
            </w:r>
          </w:p>
        </w:tc>
      </w:tr>
      <w:tr w14:paraId="3BBEB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tcPr>
          <w:p w14:paraId="05708518">
            <w:pPr>
              <w:spacing w:after="20" w:line="240" w:lineRule="auto"/>
            </w:pPr>
            <w:r>
              <w:rPr>
                <w:rFonts w:ascii="Aptos" w:hAnsi="Aptos"/>
                <w:b w:val="0"/>
                <w:sz w:val="15"/>
              </w:rPr>
              <w:t>1. Executive Dashboard</w:t>
            </w:r>
          </w:p>
        </w:tc>
        <w:tc>
          <w:tcPr>
            <w:tcW w:w="3360" w:type="dxa"/>
            <w:shd w:val="clear" w:color="auto" w:fill="F3F7FA"/>
          </w:tcPr>
          <w:p w14:paraId="3B98715F">
            <w:pPr>
              <w:spacing w:after="20" w:line="240" w:lineRule="auto"/>
            </w:pPr>
            <w:r>
              <w:rPr>
                <w:rFonts w:ascii="Aptos" w:hAnsi="Aptos"/>
                <w:b w:val="0"/>
                <w:sz w:val="15"/>
              </w:rPr>
              <w:t>At-a-glance overall performance.</w:t>
            </w:r>
          </w:p>
        </w:tc>
        <w:tc>
          <w:tcPr>
            <w:tcW w:w="3360" w:type="dxa"/>
            <w:shd w:val="clear" w:color="auto" w:fill="F3F7FA"/>
          </w:tcPr>
          <w:p w14:paraId="11015203">
            <w:pPr>
              <w:spacing w:after="20" w:line="240" w:lineRule="auto"/>
            </w:pPr>
            <w:r>
              <w:rPr>
                <w:rFonts w:ascii="Aptos" w:hAnsi="Aptos"/>
                <w:b w:val="0"/>
                <w:sz w:val="15"/>
              </w:rPr>
              <w:t>High-level KPI summary; exact visual inventory not supplied.</w:t>
            </w:r>
          </w:p>
        </w:tc>
      </w:tr>
      <w:tr w14:paraId="5AD79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BF50978">
            <w:pPr>
              <w:spacing w:after="20" w:line="240" w:lineRule="auto"/>
            </w:pPr>
            <w:r>
              <w:rPr>
                <w:rFonts w:ascii="Aptos" w:hAnsi="Aptos"/>
                <w:b w:val="0"/>
                <w:sz w:val="15"/>
              </w:rPr>
              <w:t>2. Executive Overview</w:t>
            </w:r>
          </w:p>
        </w:tc>
        <w:tc>
          <w:tcPr>
            <w:tcW w:w="3360" w:type="dxa"/>
          </w:tcPr>
          <w:p w14:paraId="7FF99103">
            <w:pPr>
              <w:spacing w:after="20" w:line="240" w:lineRule="auto"/>
            </w:pPr>
            <w:r>
              <w:rPr>
                <w:rFonts w:ascii="Aptos" w:hAnsi="Aptos"/>
                <w:b w:val="0"/>
                <w:sz w:val="15"/>
              </w:rPr>
              <w:t>Main findings and performance context.</w:t>
            </w:r>
          </w:p>
        </w:tc>
        <w:tc>
          <w:tcPr>
            <w:tcW w:w="3360" w:type="dxa"/>
          </w:tcPr>
          <w:p w14:paraId="64805DBE">
            <w:pPr>
              <w:spacing w:after="20" w:line="240" w:lineRule="auto"/>
            </w:pPr>
            <w:r>
              <w:rPr>
                <w:rFonts w:ascii="Aptos" w:hAnsi="Aptos"/>
                <w:b w:val="0"/>
                <w:sz w:val="15"/>
              </w:rPr>
              <w:t>Summary insights and headline measures.</w:t>
            </w:r>
          </w:p>
        </w:tc>
      </w:tr>
      <w:tr w14:paraId="5B219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tcPr>
          <w:p w14:paraId="158F134A">
            <w:pPr>
              <w:spacing w:after="20" w:line="240" w:lineRule="auto"/>
            </w:pPr>
            <w:r>
              <w:rPr>
                <w:rFonts w:ascii="Aptos" w:hAnsi="Aptos"/>
                <w:b w:val="0"/>
                <w:sz w:val="15"/>
              </w:rPr>
              <w:t>3. Demand &amp; Time Intelligence</w:t>
            </w:r>
          </w:p>
        </w:tc>
        <w:tc>
          <w:tcPr>
            <w:tcW w:w="3360" w:type="dxa"/>
            <w:shd w:val="clear" w:color="auto" w:fill="F3F7FA"/>
          </w:tcPr>
          <w:p w14:paraId="056F957D">
            <w:pPr>
              <w:spacing w:after="20" w:line="240" w:lineRule="auto"/>
            </w:pPr>
            <w:r>
              <w:rPr>
                <w:rFonts w:ascii="Aptos" w:hAnsi="Aptos"/>
                <w:b w:val="0"/>
                <w:sz w:val="15"/>
              </w:rPr>
              <w:t>Explore activity over time.</w:t>
            </w:r>
          </w:p>
        </w:tc>
        <w:tc>
          <w:tcPr>
            <w:tcW w:w="3360" w:type="dxa"/>
            <w:shd w:val="clear" w:color="auto" w:fill="F3F7FA"/>
          </w:tcPr>
          <w:p w14:paraId="0CA7A538">
            <w:pPr>
              <w:spacing w:after="20" w:line="240" w:lineRule="auto"/>
            </w:pPr>
            <w:r>
              <w:rPr>
                <w:rFonts w:ascii="Aptos" w:hAnsi="Aptos"/>
                <w:b w:val="0"/>
                <w:sz w:val="15"/>
              </w:rPr>
              <w:t>Daily/hourly demand patterns; 27-day business-analysis coverage.</w:t>
            </w:r>
          </w:p>
        </w:tc>
      </w:tr>
      <w:tr w14:paraId="3F90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DFB3EB0">
            <w:pPr>
              <w:spacing w:after="20" w:line="240" w:lineRule="auto"/>
            </w:pPr>
            <w:r>
              <w:rPr>
                <w:rFonts w:ascii="Aptos" w:hAnsi="Aptos"/>
                <w:b w:val="0"/>
                <w:sz w:val="15"/>
              </w:rPr>
              <w:t>4. Location Intelligence</w:t>
            </w:r>
          </w:p>
        </w:tc>
        <w:tc>
          <w:tcPr>
            <w:tcW w:w="3360" w:type="dxa"/>
          </w:tcPr>
          <w:p w14:paraId="2C989DC3">
            <w:pPr>
              <w:spacing w:after="20" w:line="240" w:lineRule="auto"/>
            </w:pPr>
            <w:r>
              <w:rPr>
                <w:rFonts w:ascii="Aptos" w:hAnsi="Aptos"/>
                <w:b w:val="0"/>
                <w:sz w:val="15"/>
              </w:rPr>
              <w:t>Compare activity by pickup geography.</w:t>
            </w:r>
          </w:p>
        </w:tc>
        <w:tc>
          <w:tcPr>
            <w:tcW w:w="3360" w:type="dxa"/>
          </w:tcPr>
          <w:p w14:paraId="0E56A128">
            <w:pPr>
              <w:spacing w:after="20" w:line="240" w:lineRule="auto"/>
            </w:pPr>
            <w:r>
              <w:rPr>
                <w:rFonts w:ascii="Aptos" w:hAnsi="Aptos"/>
                <w:b w:val="0"/>
                <w:sz w:val="15"/>
              </w:rPr>
              <w:t>Pickup-location summary and zone comparisons.</w:t>
            </w:r>
          </w:p>
        </w:tc>
      </w:tr>
      <w:tr w14:paraId="6150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tcPr>
          <w:p w14:paraId="2F263F90">
            <w:pPr>
              <w:spacing w:after="20" w:line="240" w:lineRule="auto"/>
            </w:pPr>
            <w:r>
              <w:rPr>
                <w:rFonts w:ascii="Aptos" w:hAnsi="Aptos"/>
                <w:b w:val="0"/>
                <w:sz w:val="15"/>
              </w:rPr>
              <w:t>5. Route &amp; Airport Intelligence</w:t>
            </w:r>
          </w:p>
        </w:tc>
        <w:tc>
          <w:tcPr>
            <w:tcW w:w="3360" w:type="dxa"/>
            <w:shd w:val="clear" w:color="auto" w:fill="F3F7FA"/>
          </w:tcPr>
          <w:p w14:paraId="1B5E1F32">
            <w:pPr>
              <w:spacing w:after="20" w:line="240" w:lineRule="auto"/>
            </w:pPr>
            <w:r>
              <w:rPr>
                <w:rFonts w:ascii="Aptos" w:hAnsi="Aptos"/>
                <w:b w:val="0"/>
                <w:sz w:val="15"/>
              </w:rPr>
              <w:t>Explore route directionality and airport-related patterns.</w:t>
            </w:r>
          </w:p>
        </w:tc>
        <w:tc>
          <w:tcPr>
            <w:tcW w:w="3360" w:type="dxa"/>
            <w:shd w:val="clear" w:color="auto" w:fill="F3F7FA"/>
          </w:tcPr>
          <w:p w14:paraId="76EE1E32">
            <w:pPr>
              <w:spacing w:after="20" w:line="240" w:lineRule="auto"/>
            </w:pPr>
            <w:r>
              <w:rPr>
                <w:rFonts w:ascii="Aptos" w:hAnsi="Aptos"/>
                <w:b w:val="0"/>
                <w:sz w:val="15"/>
              </w:rPr>
              <w:t>Route analysis; JFK and LaGuardia pickup-zone revenue.</w:t>
            </w:r>
          </w:p>
        </w:tc>
      </w:tr>
      <w:tr w14:paraId="7D037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1DF0AE9">
            <w:pPr>
              <w:spacing w:after="20" w:line="240" w:lineRule="auto"/>
            </w:pPr>
            <w:r>
              <w:rPr>
                <w:rFonts w:ascii="Aptos" w:hAnsi="Aptos"/>
                <w:b w:val="0"/>
                <w:sz w:val="15"/>
              </w:rPr>
              <w:t>6. Business Opportunities</w:t>
            </w:r>
          </w:p>
        </w:tc>
        <w:tc>
          <w:tcPr>
            <w:tcW w:w="3360" w:type="dxa"/>
          </w:tcPr>
          <w:p w14:paraId="759960D0">
            <w:pPr>
              <w:spacing w:after="20" w:line="240" w:lineRule="auto"/>
            </w:pPr>
            <w:r>
              <w:rPr>
                <w:rFonts w:ascii="Aptos" w:hAnsi="Aptos"/>
                <w:b w:val="0"/>
                <w:sz w:val="15"/>
              </w:rPr>
              <w:t>Translate findings into potential actions.</w:t>
            </w:r>
          </w:p>
        </w:tc>
        <w:tc>
          <w:tcPr>
            <w:tcW w:w="3360" w:type="dxa"/>
          </w:tcPr>
          <w:p w14:paraId="33F72B29">
            <w:pPr>
              <w:spacing w:after="20" w:line="240" w:lineRule="auto"/>
            </w:pPr>
            <w:r>
              <w:rPr>
                <w:rFonts w:ascii="Aptos" w:hAnsi="Aptos"/>
                <w:b w:val="0"/>
                <w:sz w:val="15"/>
              </w:rPr>
              <w:t>Opportunity areas and illustrative revenue-scenario analysis.</w:t>
            </w:r>
          </w:p>
        </w:tc>
      </w:tr>
    </w:tbl>
    <w:p w14:paraId="58A1AFB1">
      <w:pPr>
        <w:pStyle w:val="2"/>
      </w:pPr>
      <w:r>
        <w:t>4. Documented KPI reference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17C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shd w:val="clear" w:color="auto" w:fill="17365D"/>
          </w:tcPr>
          <w:p w14:paraId="22B084B0">
            <w:pPr>
              <w:spacing w:after="20" w:line="240" w:lineRule="auto"/>
            </w:pPr>
            <w:r>
              <w:rPr>
                <w:rFonts w:ascii="Aptos" w:hAnsi="Aptos"/>
                <w:b/>
                <w:color w:val="FFFFFF"/>
                <w:sz w:val="16"/>
              </w:rPr>
              <w:t>Metric</w:t>
            </w:r>
          </w:p>
        </w:tc>
        <w:tc>
          <w:tcPr>
            <w:tcW w:w="3360" w:type="dxa"/>
            <w:shd w:val="clear" w:color="auto" w:fill="17365D"/>
          </w:tcPr>
          <w:p w14:paraId="4D479E10">
            <w:pPr>
              <w:spacing w:after="20" w:line="240" w:lineRule="auto"/>
            </w:pPr>
            <w:r>
              <w:rPr>
                <w:rFonts w:ascii="Aptos" w:hAnsi="Aptos"/>
                <w:b/>
                <w:color w:val="FFFFFF"/>
                <w:sz w:val="16"/>
              </w:rPr>
              <w:t>Documented value</w:t>
            </w:r>
          </w:p>
        </w:tc>
        <w:tc>
          <w:tcPr>
            <w:tcW w:w="3360" w:type="dxa"/>
            <w:shd w:val="clear" w:color="auto" w:fill="17365D"/>
          </w:tcPr>
          <w:p w14:paraId="20B20F75">
            <w:pPr>
              <w:spacing w:after="20" w:line="240" w:lineRule="auto"/>
            </w:pPr>
            <w:r>
              <w:rPr>
                <w:rFonts w:ascii="Aptos" w:hAnsi="Aptos"/>
                <w:b/>
                <w:color w:val="FFFFFF"/>
                <w:sz w:val="16"/>
              </w:rPr>
              <w:t>Definition / interpretation</w:t>
            </w:r>
          </w:p>
        </w:tc>
      </w:tr>
      <w:tr w14:paraId="65A9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tcPr>
          <w:p w14:paraId="506B9EB1">
            <w:pPr>
              <w:spacing w:after="20" w:line="240" w:lineRule="auto"/>
            </w:pPr>
            <w:r>
              <w:rPr>
                <w:rFonts w:ascii="Aptos" w:hAnsi="Aptos"/>
                <w:b w:val="0"/>
                <w:sz w:val="15"/>
              </w:rPr>
              <w:t>Business-analysis trips</w:t>
            </w:r>
          </w:p>
        </w:tc>
        <w:tc>
          <w:tcPr>
            <w:tcW w:w="3360" w:type="dxa"/>
            <w:shd w:val="clear" w:color="auto" w:fill="F3F7FA"/>
          </w:tcPr>
          <w:p w14:paraId="58097568">
            <w:pPr>
              <w:spacing w:after="20" w:line="240" w:lineRule="auto"/>
            </w:pPr>
            <w:r>
              <w:rPr>
                <w:rFonts w:ascii="Aptos" w:hAnsi="Aptos"/>
                <w:b w:val="0"/>
                <w:sz w:val="15"/>
              </w:rPr>
              <w:t>3,329,782</w:t>
            </w:r>
          </w:p>
        </w:tc>
        <w:tc>
          <w:tcPr>
            <w:tcW w:w="3360" w:type="dxa"/>
            <w:shd w:val="clear" w:color="auto" w:fill="F3F7FA"/>
          </w:tcPr>
          <w:p w14:paraId="6E3C0F61">
            <w:pPr>
              <w:spacing w:after="20" w:line="240" w:lineRule="auto"/>
            </w:pPr>
            <w:r>
              <w:rPr>
                <w:rFonts w:ascii="Aptos" w:hAnsi="Aptos"/>
                <w:b w:val="0"/>
                <w:sz w:val="15"/>
              </w:rPr>
              <w:t>Trips in analytics_yellow_taxi_business.</w:t>
            </w:r>
          </w:p>
        </w:tc>
      </w:tr>
      <w:tr w14:paraId="6EB3D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F501A9A">
            <w:pPr>
              <w:spacing w:after="20" w:line="240" w:lineRule="auto"/>
            </w:pPr>
            <w:r>
              <w:rPr>
                <w:rFonts w:ascii="Aptos" w:hAnsi="Aptos"/>
                <w:b w:val="0"/>
                <w:sz w:val="15"/>
              </w:rPr>
              <w:t>Total amount</w:t>
            </w:r>
          </w:p>
        </w:tc>
        <w:tc>
          <w:tcPr>
            <w:tcW w:w="3360" w:type="dxa"/>
          </w:tcPr>
          <w:p w14:paraId="273A198C">
            <w:pPr>
              <w:spacing w:after="20" w:line="240" w:lineRule="auto"/>
            </w:pPr>
            <w:r>
              <w:rPr>
                <w:rFonts w:ascii="Aptos" w:hAnsi="Aptos"/>
                <w:b w:val="0"/>
                <w:sz w:val="15"/>
              </w:rPr>
              <w:t>$100,340,136.16</w:t>
            </w:r>
          </w:p>
        </w:tc>
        <w:tc>
          <w:tcPr>
            <w:tcW w:w="3360" w:type="dxa"/>
          </w:tcPr>
          <w:p w14:paraId="0F8EF8B3">
            <w:pPr>
              <w:spacing w:after="20" w:line="240" w:lineRule="auto"/>
            </w:pPr>
            <w:r>
              <w:rPr>
                <w:rFonts w:ascii="Aptos" w:hAnsi="Aptos"/>
                <w:b w:val="0"/>
                <w:sz w:val="15"/>
              </w:rPr>
              <w:t>SUM(total_amount) on the documented business-analysis population.</w:t>
            </w:r>
          </w:p>
        </w:tc>
      </w:tr>
      <w:tr w14:paraId="04FB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tcPr>
          <w:p w14:paraId="6989E25C">
            <w:pPr>
              <w:spacing w:after="20" w:line="240" w:lineRule="auto"/>
            </w:pPr>
            <w:r>
              <w:rPr>
                <w:rFonts w:ascii="Aptos" w:hAnsi="Aptos"/>
                <w:b w:val="0"/>
                <w:sz w:val="15"/>
              </w:rPr>
              <w:t>Average total amount</w:t>
            </w:r>
          </w:p>
        </w:tc>
        <w:tc>
          <w:tcPr>
            <w:tcW w:w="3360" w:type="dxa"/>
            <w:shd w:val="clear" w:color="auto" w:fill="F3F7FA"/>
          </w:tcPr>
          <w:p w14:paraId="1C4C6607">
            <w:pPr>
              <w:spacing w:after="20" w:line="240" w:lineRule="auto"/>
            </w:pPr>
            <w:r>
              <w:rPr>
                <w:rFonts w:ascii="Aptos" w:hAnsi="Aptos"/>
                <w:b w:val="0"/>
                <w:sz w:val="15"/>
              </w:rPr>
              <w:t>$30.13</w:t>
            </w:r>
          </w:p>
        </w:tc>
        <w:tc>
          <w:tcPr>
            <w:tcW w:w="3360" w:type="dxa"/>
            <w:shd w:val="clear" w:color="auto" w:fill="F3F7FA"/>
          </w:tcPr>
          <w:p w14:paraId="3FFBBF6A">
            <w:pPr>
              <w:spacing w:after="20" w:line="240" w:lineRule="auto"/>
            </w:pPr>
            <w:r>
              <w:rPr>
                <w:rFonts w:ascii="Aptos" w:hAnsi="Aptos"/>
                <w:b w:val="0"/>
                <w:sz w:val="15"/>
              </w:rPr>
              <w:t>AVG(total_amount); average amount per trip.</w:t>
            </w:r>
          </w:p>
        </w:tc>
      </w:tr>
      <w:tr w14:paraId="1ECF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AF6054A">
            <w:pPr>
              <w:spacing w:after="20" w:line="240" w:lineRule="auto"/>
            </w:pPr>
            <w:r>
              <w:rPr>
                <w:rFonts w:ascii="Aptos" w:hAnsi="Aptos"/>
                <w:b w:val="0"/>
                <w:sz w:val="15"/>
              </w:rPr>
              <w:t>Aggregate amount per mile</w:t>
            </w:r>
          </w:p>
        </w:tc>
        <w:tc>
          <w:tcPr>
            <w:tcW w:w="3360" w:type="dxa"/>
          </w:tcPr>
          <w:p w14:paraId="65B07EAE">
            <w:pPr>
              <w:spacing w:after="20" w:line="240" w:lineRule="auto"/>
            </w:pPr>
            <w:r>
              <w:rPr>
                <w:rFonts w:ascii="Aptos" w:hAnsi="Aptos"/>
                <w:b w:val="0"/>
                <w:sz w:val="15"/>
              </w:rPr>
              <w:t>$4.78</w:t>
            </w:r>
          </w:p>
        </w:tc>
        <w:tc>
          <w:tcPr>
            <w:tcW w:w="3360" w:type="dxa"/>
          </w:tcPr>
          <w:p w14:paraId="0601229A">
            <w:pPr>
              <w:spacing w:after="20" w:line="240" w:lineRule="auto"/>
            </w:pPr>
            <w:r>
              <w:rPr>
                <w:rFonts w:ascii="Aptos" w:hAnsi="Aptos"/>
                <w:b w:val="0"/>
                <w:sz w:val="15"/>
              </w:rPr>
              <w:t>SUM(total_amount) / SUM(trip_distance); aggregate ratio, not average trip fare per mile.</w:t>
            </w:r>
          </w:p>
        </w:tc>
      </w:tr>
      <w:tr w14:paraId="686D2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tcPr>
          <w:p w14:paraId="2F9F658E">
            <w:pPr>
              <w:spacing w:after="20" w:line="240" w:lineRule="auto"/>
            </w:pPr>
            <w:r>
              <w:rPr>
                <w:rFonts w:ascii="Aptos" w:hAnsi="Aptos"/>
                <w:b w:val="0"/>
                <w:sz w:val="15"/>
              </w:rPr>
              <w:t>Average trip duration</w:t>
            </w:r>
          </w:p>
        </w:tc>
        <w:tc>
          <w:tcPr>
            <w:tcW w:w="3360" w:type="dxa"/>
            <w:shd w:val="clear" w:color="auto" w:fill="F3F7FA"/>
          </w:tcPr>
          <w:p w14:paraId="28573FD3">
            <w:pPr>
              <w:spacing w:after="20" w:line="240" w:lineRule="auto"/>
            </w:pPr>
            <w:r>
              <w:rPr>
                <w:rFonts w:ascii="Aptos" w:hAnsi="Aptos"/>
                <w:b w:val="0"/>
                <w:sz w:val="15"/>
              </w:rPr>
              <w:t>17.64 minutes</w:t>
            </w:r>
          </w:p>
        </w:tc>
        <w:tc>
          <w:tcPr>
            <w:tcW w:w="3360" w:type="dxa"/>
            <w:shd w:val="clear" w:color="auto" w:fill="F3F7FA"/>
          </w:tcPr>
          <w:p w14:paraId="2DDC554F">
            <w:pPr>
              <w:spacing w:after="20" w:line="240" w:lineRule="auto"/>
            </w:pPr>
            <w:r>
              <w:rPr>
                <w:rFonts w:ascii="Aptos" w:hAnsi="Aptos"/>
                <w:b w:val="0"/>
                <w:sz w:val="15"/>
              </w:rPr>
              <w:t>Project-recorded average; exact SQL expression is not reproduced here.</w:t>
            </w:r>
          </w:p>
        </w:tc>
      </w:tr>
      <w:tr w14:paraId="0C77A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3023CE7">
            <w:pPr>
              <w:spacing w:after="20" w:line="240" w:lineRule="auto"/>
            </w:pPr>
            <w:r>
              <w:rPr>
                <w:rFonts w:ascii="Aptos" w:hAnsi="Aptos"/>
                <w:b w:val="0"/>
                <w:sz w:val="15"/>
              </w:rPr>
              <w:t>JFK + LaGuardia pickup revenue</w:t>
            </w:r>
          </w:p>
        </w:tc>
        <w:tc>
          <w:tcPr>
            <w:tcW w:w="3360" w:type="dxa"/>
          </w:tcPr>
          <w:p w14:paraId="7DFA5F76">
            <w:pPr>
              <w:spacing w:after="20" w:line="240" w:lineRule="auto"/>
            </w:pPr>
            <w:r>
              <w:rPr>
                <w:rFonts w:ascii="Aptos" w:hAnsi="Aptos"/>
                <w:b w:val="0"/>
                <w:sz w:val="15"/>
              </w:rPr>
              <w:t>Approximately $14.33M</w:t>
            </w:r>
          </w:p>
        </w:tc>
        <w:tc>
          <w:tcPr>
            <w:tcW w:w="3360" w:type="dxa"/>
          </w:tcPr>
          <w:p w14:paraId="7866F24B">
            <w:pPr>
              <w:spacing w:after="20" w:line="240" w:lineRule="auto"/>
            </w:pPr>
            <w:r>
              <w:rPr>
                <w:rFonts w:ascii="Aptos" w:hAnsi="Aptos"/>
                <w:b w:val="0"/>
                <w:sz w:val="15"/>
              </w:rPr>
              <w:t>Pickup-zone revenue only; not every airport-related trip.</w:t>
            </w:r>
          </w:p>
        </w:tc>
      </w:tr>
      <w:tr w14:paraId="5D99D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F3F7FA"/>
          </w:tcPr>
          <w:p w14:paraId="7E1C0DDE">
            <w:pPr>
              <w:spacing w:after="20" w:line="240" w:lineRule="auto"/>
            </w:pPr>
            <w:r>
              <w:rPr>
                <w:rFonts w:ascii="Aptos" w:hAnsi="Aptos"/>
                <w:b w:val="0"/>
                <w:sz w:val="15"/>
              </w:rPr>
              <w:t>Route directionality flags</w:t>
            </w:r>
          </w:p>
        </w:tc>
        <w:tc>
          <w:tcPr>
            <w:tcW w:w="3360" w:type="dxa"/>
            <w:shd w:val="clear" w:color="auto" w:fill="F3F7FA"/>
          </w:tcPr>
          <w:p w14:paraId="102A8FCD">
            <w:pPr>
              <w:spacing w:after="20" w:line="240" w:lineRule="auto"/>
            </w:pPr>
            <w:r>
              <w:rPr>
                <w:rFonts w:ascii="Aptos" w:hAnsi="Aptos"/>
                <w:b w:val="0"/>
                <w:sz w:val="15"/>
              </w:rPr>
              <w:t>14 rows</w:t>
            </w:r>
          </w:p>
        </w:tc>
        <w:tc>
          <w:tcPr>
            <w:tcW w:w="3360" w:type="dxa"/>
            <w:shd w:val="clear" w:color="auto" w:fill="F3F7FA"/>
          </w:tcPr>
          <w:p w14:paraId="50A7B43A">
            <w:pPr>
              <w:spacing w:after="20" w:line="240" w:lineRule="auto"/>
            </w:pPr>
            <w:r>
              <w:rPr>
                <w:rFonts w:ascii="Aptos" w:hAnsi="Aptos"/>
                <w:b w:val="0"/>
                <w:sz w:val="15"/>
              </w:rPr>
              <w:t>Rows meeting imbalance_pct &gt;= 50 in route_directionality_analysis.</w:t>
            </w:r>
          </w:p>
        </w:tc>
      </w:tr>
      <w:tr w14:paraId="3674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E30D73F">
            <w:pPr>
              <w:spacing w:after="20" w:line="240" w:lineRule="auto"/>
            </w:pPr>
            <w:r>
              <w:rPr>
                <w:rFonts w:ascii="Aptos" w:hAnsi="Aptos"/>
                <w:b w:val="0"/>
                <w:sz w:val="15"/>
              </w:rPr>
              <w:t>Absolute route revenue difference</w:t>
            </w:r>
          </w:p>
        </w:tc>
        <w:tc>
          <w:tcPr>
            <w:tcW w:w="3360" w:type="dxa"/>
          </w:tcPr>
          <w:p w14:paraId="6E2DDE4D">
            <w:pPr>
              <w:spacing w:after="20" w:line="240" w:lineRule="auto"/>
            </w:pPr>
            <w:r>
              <w:rPr>
                <w:rFonts w:ascii="Aptos" w:hAnsi="Aptos"/>
                <w:b w:val="0"/>
                <w:sz w:val="15"/>
              </w:rPr>
              <w:t>Approximately $3.51M</w:t>
            </w:r>
          </w:p>
        </w:tc>
        <w:tc>
          <w:tcPr>
            <w:tcW w:w="3360" w:type="dxa"/>
          </w:tcPr>
          <w:p w14:paraId="05468801">
            <w:pPr>
              <w:spacing w:after="20" w:line="240" w:lineRule="auto"/>
            </w:pPr>
            <w:r>
              <w:rPr>
                <w:rFonts w:ascii="Aptos" w:hAnsi="Aptos"/>
                <w:b w:val="0"/>
                <w:sz w:val="15"/>
              </w:rPr>
              <w:t>SUM(ABS(revenue_difference)); gross absolute magnitude, not recoverable revenue or profit.</w:t>
            </w:r>
          </w:p>
        </w:tc>
      </w:tr>
    </w:tbl>
    <w:p w14:paraId="7A9CA668">
      <w:pPr>
        <w:pStyle w:val="2"/>
      </w:pPr>
      <w:r>
        <w:t>5. Data population and coverage</w:t>
      </w:r>
    </w:p>
    <w:p w14:paraId="316AB8F1">
      <w:r>
        <w:t>The documented business-analysis table contains 3,329,782 trips across 27 days. February 23, 2026 is excluded because its unusually low trip volume indicated a likely coverage anomaly. This is a day-level comparability decision, not a claim that every trip from that date was individually invalid.</w:t>
      </w:r>
    </w:p>
    <w:p w14:paraId="03E06F35">
      <w:r>
        <w:t>The source-to-business reduction is 70,068 records (approximately 2.06%), reflecting documented cleaning rules, the project-defined duration threshold above 120 minutes, and the February 23 exclusion. These reductions should not be described as 70,068 proven erroneous records.</w:t>
      </w:r>
    </w:p>
    <w:p w14:paraId="2978BF64">
      <w:pPr>
        <w:pStyle w:val="2"/>
      </w:pPr>
      <w:r>
        <w:t>6. Business interpretation and caveats</w:t>
      </w:r>
    </w:p>
    <w:p w14:paraId="4E2B9E87">
      <w:pPr>
        <w:pStyle w:val="23"/>
      </w:pPr>
      <w:r>
        <w:t>Airport pickup revenue refers to JFK and LaGuardia pickup zones only.</w:t>
      </w:r>
    </w:p>
    <w:p w14:paraId="7F918F3F">
      <w:pPr>
        <w:pStyle w:val="23"/>
      </w:pPr>
      <w:r>
        <w:t>Route directionality differences are observed imbalances, not automatically lost revenue, recoverable revenue, or profit.</w:t>
      </w:r>
    </w:p>
    <w:p w14:paraId="1E8FEFEF">
      <w:pPr>
        <w:pStyle w:val="23"/>
      </w:pPr>
      <w:r>
        <w:t>Revenue scenarios at 1%, 2%, 3%, and 5% are illustrative what-if calculations, not forecasts or guaranteed outcomes.</w:t>
      </w:r>
    </w:p>
    <w:p w14:paraId="6B237835">
      <w:pPr>
        <w:pStyle w:val="23"/>
      </w:pPr>
      <w:r>
        <w:t>The 120-minute duration cutoff is a project-defined analytical rule, not a universal rule that every longer trip is invalid.</w:t>
      </w:r>
    </w:p>
    <w:p w14:paraId="12588952">
      <w:pPr>
        <w:pStyle w:val="23"/>
      </w:pPr>
      <w:r>
        <w:t>February 23's unusually low count suggests likely incomplete coverag</w:t>
      </w:r>
      <w:r>
        <w:rPr>
          <w:rFonts w:hint="default"/>
          <w:lang w:val="en-IN"/>
        </w:rPr>
        <w:t>e and affects the metrics.</w:t>
      </w:r>
    </w:p>
    <w:p w14:paraId="5D6EA35E">
      <w:pPr>
        <w:pStyle w:val="2"/>
      </w:pPr>
      <w:r>
        <w:rPr>
          <w:rFonts w:hint="default"/>
          <w:lang w:val="en-IN"/>
        </w:rPr>
        <w:t>7</w:t>
      </w:r>
      <w:r>
        <w:t>. Dashboard page map</w:t>
      </w:r>
    </w:p>
    <w:p w14:paraId="625D9EF7">
      <w:r>
        <w:t>Executive Dashboard → Executive Overview → Demand &amp; Time Intelligence → Location Intelligence → Route &amp; Airport Intelligence → Business Opportunities.</w:t>
      </w:r>
    </w:p>
    <w:p w14:paraId="36148850">
      <w:r>
        <w:t>This page map lists the documented six pages; it does not claim a particular navigation button or click path is implemented.</w:t>
      </w:r>
    </w:p>
    <w:p w14:paraId="5437056A">
      <w:pPr>
        <w:pStyle w:val="2"/>
      </w:pPr>
      <w:r>
        <w:rPr>
          <w:rFonts w:hint="default"/>
          <w:lang w:val="en-IN"/>
        </w:rPr>
        <w:t>8</w:t>
      </w:r>
      <w:r>
        <w:t>. Summary</w:t>
      </w:r>
    </w:p>
    <w:p w14:paraId="5A8E8C65">
      <w:r>
        <w:t>The Power BI dashboard translates staged MySQL analysis into six complementary views: executive performance, demand timing, pickup geography, route and airport patterns, and business opportunities. Its reporting population and KPI definitions support consistent interpretation, with clear boundaries around coverage anomalies, route imbalance, airport pickup scope, and scenario assumptions.</w:t>
      </w:r>
      <w:bookmarkStart w:id="0" w:name="_GoBack"/>
      <w:bookmarkEnd w:id="0"/>
    </w:p>
    <w:sectPr>
      <w:headerReference r:id="rId5" w:type="default"/>
      <w:footerReference r:id="rId6" w:type="default"/>
      <w:pgSz w:w="12240" w:h="15840"/>
      <w:pgMar w:top="1008"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17EE2">
    <w:pPr>
      <w:pStyle w:val="18"/>
      <w:jc w:val="center"/>
    </w:pPr>
    <w:r>
      <w:rPr>
        <w:color w:val="5B6573"/>
        <w:sz w:val="16"/>
      </w:rPr>
      <w:t>February 2026  |  MySQL Workbench → Power BI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02A30">
    <w:pPr>
      <w:pStyle w:val="19"/>
      <w:jc w:val="right"/>
    </w:pPr>
    <w:r>
      <w:rPr>
        <w:b/>
        <w:color w:val="008C95"/>
        <w:sz w:val="16"/>
      </w:rPr>
      <w:t>NYC YELLOW TAXI ANALYTICS  |  POWER BI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9319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8C95"/>
      <w:sz w:val="22"/>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747</Words>
  <Characters>5008</Characters>
  <Lines>0</Lines>
  <Paragraphs>0</Paragraphs>
  <TotalTime>1</TotalTime>
  <ScaleCrop>false</ScaleCrop>
  <LinksUpToDate>false</LinksUpToDate>
  <CharactersWithSpaces>5667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Abhinav Abhi</cp:lastModifiedBy>
  <dcterms:modified xsi:type="dcterms:W3CDTF">2026-10-27T13:25:30Z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eyJoZGlkIjoiMDljYzUzMWQ4OWI0YzBkYjYzMDRhZTY5ZjZkYmFmYTgiLCJ1c2VySWQiOiI1NjcxMzIxMzUwOTUifQ==</vt:lpwstr>
  </property>
  <property fmtid="{D5CDD505-2E9C-101B-9397-08002B2CF9AE}" pid="3" name="KSOProductBuildVer">
    <vt:lpwstr>1033-12.1.0.29162</vt:lpwstr>
  </property>
  <property fmtid="{D5CDD505-2E9C-101B-9397-08002B2CF9AE}" pid="4" name="ICV">
    <vt:lpwstr>E4CC3084AD5843E4ADCD7568D810754D_12</vt:lpwstr>
  </property>
</Properties>
</file>