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BEC4C">
      <w:pPr>
        <w:pStyle w:val="2"/>
        <w:spacing w:line="321" w:lineRule="auto"/>
      </w:pPr>
      <w:r>
        <w:rPr>
          <w:color w:val="16365D"/>
        </w:rPr>
        <w:t>NYC</w:t>
      </w:r>
      <w:r>
        <w:rPr>
          <w:color w:val="16365D"/>
          <w:spacing w:val="-11"/>
        </w:rPr>
        <w:t xml:space="preserve"> </w:t>
      </w:r>
      <w:r>
        <w:rPr>
          <w:color w:val="16365D"/>
        </w:rPr>
        <w:t>YELLOW</w:t>
      </w:r>
      <w:r>
        <w:rPr>
          <w:color w:val="16365D"/>
          <w:spacing w:val="-11"/>
        </w:rPr>
        <w:t xml:space="preserve"> </w:t>
      </w:r>
      <w:r>
        <w:rPr>
          <w:color w:val="16365D"/>
        </w:rPr>
        <w:t>TAXI</w:t>
      </w:r>
      <w:r>
        <w:rPr>
          <w:color w:val="16365D"/>
          <w:spacing w:val="-11"/>
        </w:rPr>
        <w:t xml:space="preserve"> </w:t>
      </w:r>
      <w:r>
        <w:rPr>
          <w:color w:val="16365D"/>
        </w:rPr>
        <w:t>ANALYTICS DASHBOARD USER GUIDE</w:t>
      </w:r>
    </w:p>
    <w:p w14:paraId="03E1FCCE">
      <w:pPr>
        <w:spacing w:before="0" w:line="238" w:lineRule="exact"/>
        <w:ind w:left="2" w:right="2" w:firstLine="0"/>
        <w:jc w:val="center"/>
        <w:rPr>
          <w:sz w:val="22"/>
        </w:rPr>
      </w:pPr>
      <w:r>
        <w:rPr>
          <w:color w:val="008C95"/>
          <w:sz w:val="22"/>
        </w:rPr>
        <w:t xml:space="preserve">February 2026 | Six-page Power BI </w:t>
      </w:r>
      <w:r>
        <w:rPr>
          <w:color w:val="008C95"/>
          <w:spacing w:val="-2"/>
          <w:sz w:val="22"/>
        </w:rPr>
        <w:t>dashboard</w:t>
      </w:r>
    </w:p>
    <w:p w14:paraId="3D13A9A3">
      <w:pPr>
        <w:pStyle w:val="6"/>
        <w:rPr>
          <w:sz w:val="22"/>
        </w:rPr>
      </w:pPr>
    </w:p>
    <w:p w14:paraId="0C1B567A">
      <w:pPr>
        <w:pStyle w:val="6"/>
        <w:spacing w:before="252"/>
        <w:rPr>
          <w:sz w:val="22"/>
        </w:rPr>
      </w:pPr>
    </w:p>
    <w:p w14:paraId="127367C1">
      <w:pPr>
        <w:pStyle w:val="6"/>
        <w:spacing w:line="302" w:lineRule="auto"/>
        <w:ind w:left="290" w:right="289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622300</wp:posOffset>
                </wp:positionH>
                <wp:positionV relativeFrom="paragraph">
                  <wp:posOffset>297815</wp:posOffset>
                </wp:positionV>
                <wp:extent cx="6315075" cy="69850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075" cy="698500"/>
                        </a:xfrm>
                        <a:prstGeom prst="rect">
                          <a:avLst/>
                        </a:prstGeom>
                        <a:solidFill>
                          <a:srgbClr val="E2F4F2"/>
                        </a:solidFill>
                        <a:ln w="7619">
                          <a:solidFill>
                            <a:srgbClr val="008C9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D55BEF">
                            <w:pPr>
                              <w:spacing w:before="165" w:line="302" w:lineRule="auto"/>
                              <w:ind w:left="154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Important: exact slicers, navigation buttons, drill-through behavior, and refresh controls are not specified in the available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notes.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below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describe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how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interpret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documented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pages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metrics,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not unverified interface controls.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49pt;margin-top:23.45pt;height:55pt;width:497.25pt;mso-position-horizontal-relative:page;z-index:251659264;mso-width-relative:page;mso-height-relative:page;" fillcolor="#E2F4F2" filled="t" stroked="t" coordsize="21600,21600" o:gfxdata="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B1UYvvaAAAACgEAAA8AAAAAAAAAAQAgAAAAIgAAAGRycy9kb3ducmV2LnhtbFBL&#10;AQIUABQAAAAIAIdO4kD86Fdx9AEAAAsEAAAOAAAAAAAAAAEAIAAAACkBAABkcnMvZTJvRG9jLnht&#10;bFBLBQYAAAAABgAGAFkBAACPBQAAAAA=&#10;">
                <v:fill on="t" focussize="0,0"/>
                <v:stroke weight="0.59992125984252pt" color="#008C95" joinstyle="round"/>
                <v:imagedata o:title=""/>
                <o:lock v:ext="edit" aspectratio="f"/>
                <v:textbox inset="0mm,0mm,0mm,0mm">
                  <w:txbxContent>
                    <w:p w14:paraId="6DD55BEF">
                      <w:pPr>
                        <w:spacing w:before="165" w:line="302" w:lineRule="auto"/>
                        <w:ind w:left="154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16365D"/>
                          <w:sz w:val="18"/>
                        </w:rPr>
                        <w:t>Important: exact slicers, navigation buttons, drill-through behavior, and refresh controls are not specified in the available</w:t>
                      </w:r>
                      <w:r>
                        <w:rPr>
                          <w:b/>
                          <w:color w:val="16365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project</w:t>
                      </w:r>
                      <w:r>
                        <w:rPr>
                          <w:b/>
                          <w:color w:val="16365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notes.</w:t>
                      </w:r>
                      <w:r>
                        <w:rPr>
                          <w:b/>
                          <w:color w:val="16365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The</w:t>
                      </w:r>
                      <w:r>
                        <w:rPr>
                          <w:b/>
                          <w:color w:val="16365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instructions</w:t>
                      </w:r>
                      <w:r>
                        <w:rPr>
                          <w:b/>
                          <w:color w:val="16365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below</w:t>
                      </w:r>
                      <w:r>
                        <w:rPr>
                          <w:b/>
                          <w:color w:val="16365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describe</w:t>
                      </w:r>
                      <w:r>
                        <w:rPr>
                          <w:b/>
                          <w:color w:val="16365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how</w:t>
                      </w:r>
                      <w:r>
                        <w:rPr>
                          <w:b/>
                          <w:color w:val="16365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to</w:t>
                      </w:r>
                      <w:r>
                        <w:rPr>
                          <w:b/>
                          <w:color w:val="16365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interpret</w:t>
                      </w:r>
                      <w:r>
                        <w:rPr>
                          <w:b/>
                          <w:color w:val="16365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the</w:t>
                      </w:r>
                      <w:r>
                        <w:rPr>
                          <w:b/>
                          <w:color w:val="16365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documented</w:t>
                      </w:r>
                      <w:r>
                        <w:rPr>
                          <w:b/>
                          <w:color w:val="16365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pages</w:t>
                      </w:r>
                      <w:r>
                        <w:rPr>
                          <w:b/>
                          <w:color w:val="16365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and</w:t>
                      </w:r>
                      <w:r>
                        <w:rPr>
                          <w:b/>
                          <w:color w:val="16365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metrics,</w:t>
                      </w:r>
                      <w:r>
                        <w:rPr>
                          <w:b/>
                          <w:color w:val="16365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not unverified interface controls.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3142"/>
        </w:rPr>
        <w:t>This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guide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explains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the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purpose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of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each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documented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dashboard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page,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how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to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interpret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the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project's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principal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measures, and which caveats to keep in mind when communicating findings.</w:t>
      </w:r>
    </w:p>
    <w:p w14:paraId="6F47D738">
      <w:pPr>
        <w:pStyle w:val="6"/>
        <w:rPr>
          <w:sz w:val="30"/>
        </w:rPr>
      </w:pPr>
    </w:p>
    <w:p w14:paraId="7555D03C">
      <w:pPr>
        <w:pStyle w:val="6"/>
        <w:rPr>
          <w:sz w:val="30"/>
        </w:rPr>
      </w:pPr>
    </w:p>
    <w:p w14:paraId="25D722EC">
      <w:pPr>
        <w:pStyle w:val="6"/>
        <w:spacing w:before="91"/>
        <w:rPr>
          <w:sz w:val="30"/>
        </w:rPr>
      </w:pPr>
    </w:p>
    <w:p w14:paraId="2355E236">
      <w:pPr>
        <w:pStyle w:val="3"/>
        <w:numPr>
          <w:ilvl w:val="0"/>
          <w:numId w:val="1"/>
        </w:numPr>
        <w:tabs>
          <w:tab w:val="left" w:pos="623"/>
        </w:tabs>
        <w:spacing w:before="0" w:after="0" w:line="240" w:lineRule="auto"/>
        <w:ind w:left="623" w:right="0" w:hanging="333"/>
        <w:jc w:val="left"/>
      </w:pPr>
      <w:r>
        <w:rPr>
          <w:color w:val="16365D"/>
        </w:rPr>
        <w:t xml:space="preserve">Before you </w:t>
      </w:r>
      <w:r>
        <w:rPr>
          <w:color w:val="16365D"/>
          <w:spacing w:val="-2"/>
        </w:rPr>
        <w:t>begin</w:t>
      </w:r>
    </w:p>
    <w:p w14:paraId="7A9D4EEE">
      <w:pPr>
        <w:pStyle w:val="6"/>
        <w:spacing w:before="147" w:line="302" w:lineRule="auto"/>
        <w:ind w:left="290" w:right="289"/>
      </w:pPr>
      <w:r>
        <w:rPr>
          <w:color w:val="233142"/>
        </w:rPr>
        <w:t xml:space="preserve">The dashboard uses the curated business-analysis population in </w:t>
      </w:r>
      <w:r>
        <w:rPr>
          <w:b/>
          <w:color w:val="233142"/>
        </w:rPr>
        <w:t>analytics_yellow_taxi_business</w:t>
      </w:r>
      <w:r>
        <w:rPr>
          <w:color w:val="233142"/>
        </w:rPr>
        <w:t>, documented as 3,329,782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trips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across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27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days.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February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23,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2026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is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excluded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from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business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comparisons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because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the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project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recorded unusually low trip volume on that date, indicating a likely coverage anomaly.</w:t>
      </w:r>
    </w:p>
    <w:p w14:paraId="3C11CDD1">
      <w:pPr>
        <w:pStyle w:val="6"/>
        <w:spacing w:before="118"/>
        <w:ind w:left="290"/>
      </w:pPr>
      <w:r>
        <w:rPr>
          <w:color w:val="233142"/>
        </w:rPr>
        <w:t xml:space="preserve">Treat the dashboard as analysis of the selected 27-day population, not a complete, uniform 28-day </w:t>
      </w:r>
      <w:r>
        <w:rPr>
          <w:color w:val="233142"/>
          <w:spacing w:val="-2"/>
        </w:rPr>
        <w:t>comparison.</w:t>
      </w:r>
    </w:p>
    <w:p w14:paraId="2EA3F960">
      <w:pPr>
        <w:pStyle w:val="6"/>
        <w:spacing w:before="73"/>
      </w:pPr>
    </w:p>
    <w:p w14:paraId="1FC2231F">
      <w:pPr>
        <w:pStyle w:val="3"/>
        <w:numPr>
          <w:ilvl w:val="0"/>
          <w:numId w:val="1"/>
        </w:numPr>
        <w:tabs>
          <w:tab w:val="left" w:pos="623"/>
        </w:tabs>
        <w:spacing w:before="1" w:after="0" w:line="240" w:lineRule="auto"/>
        <w:ind w:left="623" w:right="0" w:hanging="333"/>
        <w:jc w:val="left"/>
      </w:pPr>
      <w:r>
        <w:rPr>
          <w:color w:val="16365D"/>
        </w:rPr>
        <w:t xml:space="preserve">Page-by-page </w:t>
      </w:r>
      <w:r>
        <w:rPr>
          <w:color w:val="16365D"/>
          <w:spacing w:val="-2"/>
        </w:rPr>
        <w:t>guide</w:t>
      </w:r>
    </w:p>
    <w:p w14:paraId="23A275C8">
      <w:pPr>
        <w:pStyle w:val="6"/>
        <w:spacing w:before="8"/>
        <w:rPr>
          <w:b/>
          <w:sz w:val="9"/>
        </w:rPr>
      </w:pPr>
    </w:p>
    <w:tbl>
      <w:tblPr>
        <w:tblStyle w:val="5"/>
        <w:tblW w:w="0" w:type="auto"/>
        <w:tblInd w:w="346" w:type="dxa"/>
        <w:tblBorders>
          <w:top w:val="single" w:color="C8D4E2" w:sz="4" w:space="0"/>
          <w:left w:val="single" w:color="C8D4E2" w:sz="4" w:space="0"/>
          <w:bottom w:val="single" w:color="C8D4E2" w:sz="4" w:space="0"/>
          <w:right w:val="single" w:color="C8D4E2" w:sz="4" w:space="0"/>
          <w:insideH w:val="single" w:color="C8D4E2" w:sz="4" w:space="0"/>
          <w:insideV w:val="single" w:color="C8D4E2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1"/>
        <w:gridCol w:w="2721"/>
        <w:gridCol w:w="4592"/>
      </w:tblGrid>
      <w:tr w14:paraId="68A8E553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11" w:type="dxa"/>
            <w:shd w:val="clear" w:color="auto" w:fill="16365D"/>
          </w:tcPr>
          <w:p w14:paraId="32F4912C">
            <w:pPr>
              <w:pStyle w:val="9"/>
              <w:rPr>
                <w:b/>
                <w:sz w:val="15"/>
              </w:rPr>
            </w:pPr>
            <w:r>
              <w:rPr>
                <w:b/>
                <w:color w:val="FFFFFF"/>
                <w:spacing w:val="-4"/>
                <w:sz w:val="15"/>
              </w:rPr>
              <w:t>Page</w:t>
            </w:r>
          </w:p>
        </w:tc>
        <w:tc>
          <w:tcPr>
            <w:tcW w:w="2721" w:type="dxa"/>
            <w:shd w:val="clear" w:color="auto" w:fill="16365D"/>
          </w:tcPr>
          <w:p w14:paraId="5AC1A158">
            <w:pPr>
              <w:pStyle w:val="9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What</w:t>
            </w:r>
            <w:r>
              <w:rPr>
                <w:b/>
                <w:color w:val="FFFFFF"/>
                <w:spacing w:val="4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it</w:t>
            </w:r>
            <w:r>
              <w:rPr>
                <w:b/>
                <w:color w:val="FFFFFF"/>
                <w:spacing w:val="5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is</w:t>
            </w:r>
            <w:r>
              <w:rPr>
                <w:b/>
                <w:color w:val="FFFFFF"/>
                <w:spacing w:val="5"/>
                <w:sz w:val="15"/>
              </w:rPr>
              <w:t xml:space="preserve"> </w:t>
            </w:r>
            <w:r>
              <w:rPr>
                <w:b/>
                <w:color w:val="FFFFFF"/>
                <w:spacing w:val="-5"/>
                <w:sz w:val="15"/>
              </w:rPr>
              <w:t>for</w:t>
            </w:r>
          </w:p>
        </w:tc>
        <w:tc>
          <w:tcPr>
            <w:tcW w:w="4592" w:type="dxa"/>
            <w:shd w:val="clear" w:color="auto" w:fill="16365D"/>
          </w:tcPr>
          <w:p w14:paraId="4EF5E587">
            <w:pPr>
              <w:pStyle w:val="9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How</w:t>
            </w:r>
            <w:r>
              <w:rPr>
                <w:b/>
                <w:color w:val="FFFFFF"/>
                <w:spacing w:val="8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to</w:t>
            </w:r>
            <w:r>
              <w:rPr>
                <w:b/>
                <w:color w:val="FFFFFF"/>
                <w:spacing w:val="8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interpret</w:t>
            </w:r>
            <w:r>
              <w:rPr>
                <w:b/>
                <w:color w:val="FFFFFF"/>
                <w:spacing w:val="8"/>
                <w:sz w:val="15"/>
              </w:rPr>
              <w:t xml:space="preserve"> </w:t>
            </w:r>
            <w:r>
              <w:rPr>
                <w:b/>
                <w:color w:val="FFFFFF"/>
                <w:spacing w:val="-5"/>
                <w:sz w:val="15"/>
              </w:rPr>
              <w:t>it</w:t>
            </w:r>
          </w:p>
        </w:tc>
      </w:tr>
      <w:tr w14:paraId="236F5FA0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211" w:type="dxa"/>
          </w:tcPr>
          <w:p w14:paraId="23075DC9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Executive</w:t>
            </w:r>
            <w:r>
              <w:rPr>
                <w:color w:val="233142"/>
                <w:spacing w:val="14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Dashboard</w:t>
            </w:r>
          </w:p>
        </w:tc>
        <w:tc>
          <w:tcPr>
            <w:tcW w:w="2721" w:type="dxa"/>
          </w:tcPr>
          <w:p w14:paraId="60D29EDF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High-level</w:t>
            </w:r>
            <w:r>
              <w:rPr>
                <w:color w:val="233142"/>
                <w:spacing w:val="9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performance</w:t>
            </w:r>
            <w:r>
              <w:rPr>
                <w:color w:val="233142"/>
                <w:spacing w:val="10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at</w:t>
            </w:r>
            <w:r>
              <w:rPr>
                <w:color w:val="233142"/>
                <w:spacing w:val="9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a</w:t>
            </w:r>
            <w:r>
              <w:rPr>
                <w:color w:val="233142"/>
                <w:spacing w:val="10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glance.</w:t>
            </w:r>
          </w:p>
        </w:tc>
        <w:tc>
          <w:tcPr>
            <w:tcW w:w="4592" w:type="dxa"/>
          </w:tcPr>
          <w:p w14:paraId="4FE4B5BC">
            <w:pPr>
              <w:pStyle w:val="9"/>
              <w:spacing w:line="264" w:lineRule="auto"/>
              <w:ind w:right="188"/>
              <w:rPr>
                <w:sz w:val="15"/>
              </w:rPr>
            </w:pPr>
            <w:r>
              <w:rPr>
                <w:color w:val="233142"/>
                <w:sz w:val="15"/>
              </w:rPr>
              <w:t>Use it for the overall picture; confirm detailed definitions in the KPI reference below.</w:t>
            </w:r>
          </w:p>
        </w:tc>
      </w:tr>
      <w:tr w14:paraId="7850C395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211" w:type="dxa"/>
            <w:shd w:val="clear" w:color="auto" w:fill="E9F2F7"/>
          </w:tcPr>
          <w:p w14:paraId="315D4C80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Executive</w:t>
            </w:r>
            <w:r>
              <w:rPr>
                <w:color w:val="233142"/>
                <w:spacing w:val="14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Overview</w:t>
            </w:r>
          </w:p>
        </w:tc>
        <w:tc>
          <w:tcPr>
            <w:tcW w:w="2721" w:type="dxa"/>
            <w:shd w:val="clear" w:color="auto" w:fill="E9F2F7"/>
          </w:tcPr>
          <w:p w14:paraId="2C9B6172">
            <w:pPr>
              <w:pStyle w:val="9"/>
              <w:spacing w:line="264" w:lineRule="auto"/>
              <w:ind w:right="398"/>
              <w:rPr>
                <w:sz w:val="15"/>
              </w:rPr>
            </w:pPr>
            <w:r>
              <w:rPr>
                <w:color w:val="233142"/>
                <w:sz w:val="15"/>
              </w:rPr>
              <w:t xml:space="preserve">Summarizes the project's main </w:t>
            </w:r>
            <w:r>
              <w:rPr>
                <w:color w:val="233142"/>
                <w:spacing w:val="-2"/>
                <w:sz w:val="15"/>
              </w:rPr>
              <w:t>findings.</w:t>
            </w:r>
          </w:p>
        </w:tc>
        <w:tc>
          <w:tcPr>
            <w:tcW w:w="4592" w:type="dxa"/>
            <w:shd w:val="clear" w:color="auto" w:fill="E9F2F7"/>
          </w:tcPr>
          <w:p w14:paraId="0BB94CB2">
            <w:pPr>
              <w:pStyle w:val="9"/>
              <w:spacing w:line="264" w:lineRule="auto"/>
              <w:ind w:right="188"/>
              <w:rPr>
                <w:sz w:val="15"/>
              </w:rPr>
            </w:pPr>
            <w:r>
              <w:rPr>
                <w:color w:val="233142"/>
                <w:sz w:val="15"/>
              </w:rPr>
              <w:t xml:space="preserve">Use as a narrative overview, not a substitute for metric </w:t>
            </w:r>
            <w:r>
              <w:rPr>
                <w:color w:val="233142"/>
                <w:spacing w:val="-2"/>
                <w:sz w:val="15"/>
              </w:rPr>
              <w:t>definitions.</w:t>
            </w:r>
          </w:p>
        </w:tc>
      </w:tr>
      <w:tr w14:paraId="6A5CF8AD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211" w:type="dxa"/>
          </w:tcPr>
          <w:p w14:paraId="37DA6D16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Demand</w:t>
            </w:r>
            <w:r>
              <w:rPr>
                <w:color w:val="233142"/>
                <w:spacing w:val="7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&amp;</w:t>
            </w:r>
            <w:r>
              <w:rPr>
                <w:color w:val="233142"/>
                <w:spacing w:val="8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Time</w:t>
            </w:r>
            <w:r>
              <w:rPr>
                <w:color w:val="233142"/>
                <w:spacing w:val="8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Intelligence</w:t>
            </w:r>
          </w:p>
        </w:tc>
        <w:tc>
          <w:tcPr>
            <w:tcW w:w="2721" w:type="dxa"/>
          </w:tcPr>
          <w:p w14:paraId="50978B93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Explores</w:t>
            </w:r>
            <w:r>
              <w:rPr>
                <w:color w:val="233142"/>
                <w:spacing w:val="12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temporal</w:t>
            </w:r>
            <w:r>
              <w:rPr>
                <w:color w:val="233142"/>
                <w:spacing w:val="13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patterns.</w:t>
            </w:r>
          </w:p>
        </w:tc>
        <w:tc>
          <w:tcPr>
            <w:tcW w:w="4592" w:type="dxa"/>
          </w:tcPr>
          <w:p w14:paraId="5233810B">
            <w:pPr>
              <w:pStyle w:val="9"/>
              <w:spacing w:line="264" w:lineRule="auto"/>
              <w:ind w:right="188"/>
              <w:rPr>
                <w:sz w:val="15"/>
              </w:rPr>
            </w:pPr>
            <w:r>
              <w:rPr>
                <w:color w:val="233142"/>
                <w:sz w:val="15"/>
              </w:rPr>
              <w:t>Interpret day/hour differences with the 27-day coverage caveat in mind.</w:t>
            </w:r>
          </w:p>
        </w:tc>
      </w:tr>
      <w:tr w14:paraId="534D9953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211" w:type="dxa"/>
            <w:shd w:val="clear" w:color="auto" w:fill="E9F2F7"/>
          </w:tcPr>
          <w:p w14:paraId="1E7F697F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Location</w:t>
            </w:r>
            <w:r>
              <w:rPr>
                <w:color w:val="233142"/>
                <w:spacing w:val="12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Intelligence</w:t>
            </w:r>
          </w:p>
        </w:tc>
        <w:tc>
          <w:tcPr>
            <w:tcW w:w="2721" w:type="dxa"/>
            <w:shd w:val="clear" w:color="auto" w:fill="E9F2F7"/>
          </w:tcPr>
          <w:p w14:paraId="25459332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Compares</w:t>
            </w:r>
            <w:r>
              <w:rPr>
                <w:color w:val="233142"/>
                <w:spacing w:val="17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pickup-location</w:t>
            </w:r>
            <w:r>
              <w:rPr>
                <w:color w:val="233142"/>
                <w:spacing w:val="18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activity.</w:t>
            </w:r>
          </w:p>
        </w:tc>
        <w:tc>
          <w:tcPr>
            <w:tcW w:w="4592" w:type="dxa"/>
            <w:shd w:val="clear" w:color="auto" w:fill="E9F2F7"/>
          </w:tcPr>
          <w:p w14:paraId="68DB9504">
            <w:pPr>
              <w:pStyle w:val="9"/>
              <w:spacing w:line="264" w:lineRule="auto"/>
              <w:ind w:right="188"/>
              <w:rPr>
                <w:sz w:val="15"/>
              </w:rPr>
            </w:pPr>
            <w:r>
              <w:rPr>
                <w:color w:val="233142"/>
                <w:sz w:val="15"/>
              </w:rPr>
              <w:t>Confirm whether a metric refers to pickup zones before describing geographic performance.</w:t>
            </w:r>
          </w:p>
        </w:tc>
      </w:tr>
      <w:tr w14:paraId="0934D095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211" w:type="dxa"/>
          </w:tcPr>
          <w:p w14:paraId="4A89EA1A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Route</w:t>
            </w:r>
            <w:r>
              <w:rPr>
                <w:color w:val="233142"/>
                <w:spacing w:val="7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&amp;</w:t>
            </w:r>
            <w:r>
              <w:rPr>
                <w:color w:val="233142"/>
                <w:spacing w:val="7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Airport</w:t>
            </w:r>
            <w:r>
              <w:rPr>
                <w:color w:val="233142"/>
                <w:spacing w:val="7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Intelligence</w:t>
            </w:r>
          </w:p>
        </w:tc>
        <w:tc>
          <w:tcPr>
            <w:tcW w:w="2721" w:type="dxa"/>
          </w:tcPr>
          <w:p w14:paraId="31469EB7">
            <w:pPr>
              <w:pStyle w:val="9"/>
              <w:spacing w:line="264" w:lineRule="auto"/>
              <w:ind w:right="398"/>
              <w:rPr>
                <w:sz w:val="15"/>
              </w:rPr>
            </w:pPr>
            <w:r>
              <w:rPr>
                <w:color w:val="233142"/>
                <w:sz w:val="15"/>
              </w:rPr>
              <w:t>Explores route directionality and airport-related patterns.</w:t>
            </w:r>
          </w:p>
        </w:tc>
        <w:tc>
          <w:tcPr>
            <w:tcW w:w="4592" w:type="dxa"/>
          </w:tcPr>
          <w:p w14:paraId="46F538CE">
            <w:pPr>
              <w:pStyle w:val="9"/>
              <w:spacing w:line="264" w:lineRule="auto"/>
              <w:ind w:right="188"/>
              <w:rPr>
                <w:sz w:val="15"/>
              </w:rPr>
            </w:pPr>
            <w:r>
              <w:rPr>
                <w:color w:val="233142"/>
                <w:sz w:val="15"/>
              </w:rPr>
              <w:t>Airport revenue documented here is pickup-zone revenue for JFK and LaGuardia; route imbalance is descriptive.</w:t>
            </w:r>
          </w:p>
        </w:tc>
      </w:tr>
      <w:tr w14:paraId="3193A40A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211" w:type="dxa"/>
            <w:shd w:val="clear" w:color="auto" w:fill="E9F2F7"/>
          </w:tcPr>
          <w:p w14:paraId="09473AB4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Business</w:t>
            </w:r>
            <w:r>
              <w:rPr>
                <w:color w:val="233142"/>
                <w:spacing w:val="13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Opportunities</w:t>
            </w:r>
          </w:p>
        </w:tc>
        <w:tc>
          <w:tcPr>
            <w:tcW w:w="2721" w:type="dxa"/>
            <w:shd w:val="clear" w:color="auto" w:fill="E9F2F7"/>
          </w:tcPr>
          <w:p w14:paraId="3CFF94B1">
            <w:pPr>
              <w:pStyle w:val="9"/>
              <w:spacing w:line="264" w:lineRule="auto"/>
              <w:ind w:right="398"/>
              <w:rPr>
                <w:sz w:val="15"/>
              </w:rPr>
            </w:pPr>
            <w:r>
              <w:rPr>
                <w:color w:val="233142"/>
                <w:sz w:val="15"/>
              </w:rPr>
              <w:t xml:space="preserve">Connects findings to possible </w:t>
            </w:r>
            <w:r>
              <w:rPr>
                <w:color w:val="233142"/>
                <w:spacing w:val="-2"/>
                <w:sz w:val="15"/>
              </w:rPr>
              <w:t>actions.</w:t>
            </w:r>
          </w:p>
        </w:tc>
        <w:tc>
          <w:tcPr>
            <w:tcW w:w="4592" w:type="dxa"/>
            <w:shd w:val="clear" w:color="auto" w:fill="E9F2F7"/>
          </w:tcPr>
          <w:p w14:paraId="35817A63">
            <w:pPr>
              <w:pStyle w:val="9"/>
              <w:spacing w:line="264" w:lineRule="auto"/>
              <w:rPr>
                <w:sz w:val="15"/>
              </w:rPr>
            </w:pPr>
            <w:r>
              <w:rPr>
                <w:color w:val="233142"/>
                <w:sz w:val="15"/>
              </w:rPr>
              <w:t>Treat scenario values as illustrative what-if calculations, not predictions or guaranteed gains.</w:t>
            </w:r>
          </w:p>
        </w:tc>
      </w:tr>
    </w:tbl>
    <w:p w14:paraId="63FCD0C5">
      <w:pPr>
        <w:pStyle w:val="3"/>
        <w:numPr>
          <w:ilvl w:val="0"/>
          <w:numId w:val="1"/>
        </w:numPr>
        <w:tabs>
          <w:tab w:val="left" w:pos="623"/>
        </w:tabs>
        <w:spacing w:before="233" w:after="0" w:line="240" w:lineRule="auto"/>
        <w:ind w:left="623" w:right="0" w:hanging="333"/>
        <w:jc w:val="left"/>
      </w:pPr>
      <w:r>
        <w:rPr>
          <w:color w:val="16365D"/>
        </w:rPr>
        <w:t xml:space="preserve">Principal KPI </w:t>
      </w:r>
      <w:r>
        <w:rPr>
          <w:color w:val="16365D"/>
          <w:spacing w:val="-2"/>
        </w:rPr>
        <w:t>reference</w:t>
      </w:r>
    </w:p>
    <w:p w14:paraId="58650B9E">
      <w:pPr>
        <w:pStyle w:val="6"/>
        <w:spacing w:before="8"/>
        <w:rPr>
          <w:b/>
          <w:sz w:val="9"/>
        </w:rPr>
      </w:pPr>
    </w:p>
    <w:tbl>
      <w:tblPr>
        <w:tblStyle w:val="5"/>
        <w:tblW w:w="0" w:type="auto"/>
        <w:tblInd w:w="346" w:type="dxa"/>
        <w:tblBorders>
          <w:top w:val="single" w:color="C8D4E2" w:sz="4" w:space="0"/>
          <w:left w:val="single" w:color="C8D4E2" w:sz="4" w:space="0"/>
          <w:bottom w:val="single" w:color="C8D4E2" w:sz="4" w:space="0"/>
          <w:right w:val="single" w:color="C8D4E2" w:sz="4" w:space="0"/>
          <w:insideH w:val="single" w:color="C8D4E2" w:sz="4" w:space="0"/>
          <w:insideV w:val="single" w:color="C8D4E2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8"/>
        <w:gridCol w:w="2268"/>
        <w:gridCol w:w="4819"/>
      </w:tblGrid>
      <w:tr w14:paraId="16D562D6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438" w:type="dxa"/>
            <w:shd w:val="clear" w:color="auto" w:fill="16365D"/>
          </w:tcPr>
          <w:p w14:paraId="545CE5C0">
            <w:pPr>
              <w:pStyle w:val="9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Measure</w:t>
            </w:r>
          </w:p>
        </w:tc>
        <w:tc>
          <w:tcPr>
            <w:tcW w:w="2268" w:type="dxa"/>
            <w:shd w:val="clear" w:color="auto" w:fill="16365D"/>
          </w:tcPr>
          <w:p w14:paraId="4E05FE96">
            <w:pPr>
              <w:pStyle w:val="9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Documented</w:t>
            </w:r>
            <w:r>
              <w:rPr>
                <w:b/>
                <w:color w:val="FFFFFF"/>
                <w:spacing w:val="19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value</w:t>
            </w:r>
          </w:p>
        </w:tc>
        <w:tc>
          <w:tcPr>
            <w:tcW w:w="4819" w:type="dxa"/>
            <w:shd w:val="clear" w:color="auto" w:fill="16365D"/>
          </w:tcPr>
          <w:p w14:paraId="4880A593">
            <w:pPr>
              <w:pStyle w:val="9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How</w:t>
            </w:r>
            <w:r>
              <w:rPr>
                <w:b/>
                <w:color w:val="FFFFFF"/>
                <w:spacing w:val="6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to</w:t>
            </w:r>
            <w:r>
              <w:rPr>
                <w:b/>
                <w:color w:val="FFFFFF"/>
                <w:spacing w:val="6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read</w:t>
            </w:r>
            <w:r>
              <w:rPr>
                <w:b/>
                <w:color w:val="FFFFFF"/>
                <w:spacing w:val="6"/>
                <w:sz w:val="15"/>
              </w:rPr>
              <w:t xml:space="preserve"> </w:t>
            </w:r>
            <w:r>
              <w:rPr>
                <w:b/>
                <w:color w:val="FFFFFF"/>
                <w:spacing w:val="-5"/>
                <w:sz w:val="15"/>
              </w:rPr>
              <w:t>it</w:t>
            </w:r>
          </w:p>
        </w:tc>
      </w:tr>
      <w:tr w14:paraId="61183CBC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438" w:type="dxa"/>
          </w:tcPr>
          <w:p w14:paraId="6A728F4C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Business-analysis</w:t>
            </w:r>
            <w:r>
              <w:rPr>
                <w:color w:val="233142"/>
                <w:spacing w:val="25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trips</w:t>
            </w:r>
          </w:p>
        </w:tc>
        <w:tc>
          <w:tcPr>
            <w:tcW w:w="2268" w:type="dxa"/>
          </w:tcPr>
          <w:p w14:paraId="579886E6">
            <w:pPr>
              <w:pStyle w:val="9"/>
              <w:rPr>
                <w:sz w:val="15"/>
              </w:rPr>
            </w:pPr>
            <w:r>
              <w:rPr>
                <w:color w:val="233142"/>
                <w:spacing w:val="-2"/>
                <w:sz w:val="15"/>
              </w:rPr>
              <w:t>3,329,782</w:t>
            </w:r>
          </w:p>
        </w:tc>
        <w:tc>
          <w:tcPr>
            <w:tcW w:w="4819" w:type="dxa"/>
          </w:tcPr>
          <w:p w14:paraId="73D2201D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Number</w:t>
            </w:r>
            <w:r>
              <w:rPr>
                <w:color w:val="233142"/>
                <w:spacing w:val="9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of</w:t>
            </w:r>
            <w:r>
              <w:rPr>
                <w:color w:val="233142"/>
                <w:spacing w:val="9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trips</w:t>
            </w:r>
            <w:r>
              <w:rPr>
                <w:color w:val="233142"/>
                <w:spacing w:val="10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in</w:t>
            </w:r>
            <w:r>
              <w:rPr>
                <w:color w:val="233142"/>
                <w:spacing w:val="9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the</w:t>
            </w:r>
            <w:r>
              <w:rPr>
                <w:color w:val="233142"/>
                <w:spacing w:val="10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curated</w:t>
            </w:r>
            <w:r>
              <w:rPr>
                <w:color w:val="233142"/>
                <w:spacing w:val="9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business-analysis</w:t>
            </w:r>
            <w:r>
              <w:rPr>
                <w:color w:val="233142"/>
                <w:spacing w:val="10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table.</w:t>
            </w:r>
          </w:p>
        </w:tc>
      </w:tr>
      <w:tr w14:paraId="0925F6FB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438" w:type="dxa"/>
            <w:shd w:val="clear" w:color="auto" w:fill="E9F2F7"/>
          </w:tcPr>
          <w:p w14:paraId="317521B6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Total</w:t>
            </w:r>
            <w:r>
              <w:rPr>
                <w:color w:val="233142"/>
                <w:spacing w:val="7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amount</w:t>
            </w:r>
          </w:p>
        </w:tc>
        <w:tc>
          <w:tcPr>
            <w:tcW w:w="2268" w:type="dxa"/>
            <w:shd w:val="clear" w:color="auto" w:fill="E9F2F7"/>
          </w:tcPr>
          <w:p w14:paraId="044981CD">
            <w:pPr>
              <w:pStyle w:val="9"/>
              <w:rPr>
                <w:sz w:val="15"/>
              </w:rPr>
            </w:pPr>
            <w:r>
              <w:rPr>
                <w:color w:val="233142"/>
                <w:spacing w:val="-2"/>
                <w:sz w:val="15"/>
              </w:rPr>
              <w:t>$100,340,136.16</w:t>
            </w:r>
          </w:p>
        </w:tc>
        <w:tc>
          <w:tcPr>
            <w:tcW w:w="4819" w:type="dxa"/>
            <w:shd w:val="clear" w:color="auto" w:fill="E9F2F7"/>
          </w:tcPr>
          <w:p w14:paraId="41FCB8F8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Sum</w:t>
            </w:r>
            <w:r>
              <w:rPr>
                <w:color w:val="233142"/>
                <w:spacing w:val="10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of</w:t>
            </w:r>
            <w:r>
              <w:rPr>
                <w:color w:val="233142"/>
                <w:spacing w:val="10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total_amount</w:t>
            </w:r>
            <w:r>
              <w:rPr>
                <w:color w:val="233142"/>
                <w:spacing w:val="11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in</w:t>
            </w:r>
            <w:r>
              <w:rPr>
                <w:color w:val="233142"/>
                <w:spacing w:val="10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the</w:t>
            </w:r>
            <w:r>
              <w:rPr>
                <w:color w:val="233142"/>
                <w:spacing w:val="10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business-analysis</w:t>
            </w:r>
            <w:r>
              <w:rPr>
                <w:color w:val="233142"/>
                <w:spacing w:val="11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population.</w:t>
            </w:r>
          </w:p>
        </w:tc>
      </w:tr>
      <w:tr w14:paraId="093F4B04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438" w:type="dxa"/>
          </w:tcPr>
          <w:p w14:paraId="6275529D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Average</w:t>
            </w:r>
            <w:r>
              <w:rPr>
                <w:color w:val="233142"/>
                <w:spacing w:val="9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total</w:t>
            </w:r>
            <w:r>
              <w:rPr>
                <w:color w:val="233142"/>
                <w:spacing w:val="9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amount</w:t>
            </w:r>
          </w:p>
        </w:tc>
        <w:tc>
          <w:tcPr>
            <w:tcW w:w="2268" w:type="dxa"/>
          </w:tcPr>
          <w:p w14:paraId="2B31A705">
            <w:pPr>
              <w:pStyle w:val="9"/>
              <w:rPr>
                <w:sz w:val="15"/>
              </w:rPr>
            </w:pPr>
            <w:r>
              <w:rPr>
                <w:color w:val="233142"/>
                <w:spacing w:val="-2"/>
                <w:sz w:val="15"/>
              </w:rPr>
              <w:t>$30.13</w:t>
            </w:r>
          </w:p>
        </w:tc>
        <w:tc>
          <w:tcPr>
            <w:tcW w:w="4819" w:type="dxa"/>
          </w:tcPr>
          <w:p w14:paraId="3BD3650B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Average</w:t>
            </w:r>
            <w:r>
              <w:rPr>
                <w:color w:val="233142"/>
                <w:spacing w:val="11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total_amount</w:t>
            </w:r>
            <w:r>
              <w:rPr>
                <w:color w:val="233142"/>
                <w:spacing w:val="12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per</w:t>
            </w:r>
            <w:r>
              <w:rPr>
                <w:color w:val="233142"/>
                <w:spacing w:val="12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trip.</w:t>
            </w:r>
          </w:p>
        </w:tc>
      </w:tr>
      <w:tr w14:paraId="2DFE4806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438" w:type="dxa"/>
            <w:shd w:val="clear" w:color="auto" w:fill="E9F2F7"/>
          </w:tcPr>
          <w:p w14:paraId="58E2F520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Aggregate</w:t>
            </w:r>
            <w:r>
              <w:rPr>
                <w:color w:val="233142"/>
                <w:spacing w:val="10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amount</w:t>
            </w:r>
            <w:r>
              <w:rPr>
                <w:color w:val="233142"/>
                <w:spacing w:val="10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per</w:t>
            </w:r>
            <w:r>
              <w:rPr>
                <w:color w:val="233142"/>
                <w:spacing w:val="11"/>
                <w:sz w:val="15"/>
              </w:rPr>
              <w:t xml:space="preserve"> </w:t>
            </w:r>
            <w:r>
              <w:rPr>
                <w:color w:val="233142"/>
                <w:spacing w:val="-4"/>
                <w:sz w:val="15"/>
              </w:rPr>
              <w:t>mile</w:t>
            </w:r>
          </w:p>
        </w:tc>
        <w:tc>
          <w:tcPr>
            <w:tcW w:w="2268" w:type="dxa"/>
            <w:shd w:val="clear" w:color="auto" w:fill="E9F2F7"/>
          </w:tcPr>
          <w:p w14:paraId="01F9B2BD">
            <w:pPr>
              <w:pStyle w:val="9"/>
              <w:rPr>
                <w:sz w:val="15"/>
              </w:rPr>
            </w:pPr>
            <w:r>
              <w:rPr>
                <w:color w:val="233142"/>
                <w:spacing w:val="-2"/>
                <w:sz w:val="15"/>
              </w:rPr>
              <w:t>$4.78</w:t>
            </w:r>
          </w:p>
        </w:tc>
        <w:tc>
          <w:tcPr>
            <w:tcW w:w="4819" w:type="dxa"/>
            <w:shd w:val="clear" w:color="auto" w:fill="E9F2F7"/>
          </w:tcPr>
          <w:p w14:paraId="28BA919B">
            <w:pPr>
              <w:pStyle w:val="9"/>
              <w:spacing w:line="264" w:lineRule="auto"/>
              <w:ind w:right="274"/>
              <w:rPr>
                <w:sz w:val="15"/>
              </w:rPr>
            </w:pPr>
            <w:r>
              <w:rPr>
                <w:color w:val="233142"/>
                <w:sz w:val="15"/>
              </w:rPr>
              <w:t>SUM(total_amount) / SUM(trip_distance); this is an aggregate ratio, not the average of each trip's per-mile value.</w:t>
            </w:r>
          </w:p>
        </w:tc>
      </w:tr>
    </w:tbl>
    <w:p w14:paraId="3BD76EF7">
      <w:pPr>
        <w:pStyle w:val="9"/>
        <w:spacing w:after="0" w:line="264" w:lineRule="auto"/>
        <w:rPr>
          <w:sz w:val="15"/>
        </w:rPr>
        <w:sectPr>
          <w:footerReference r:id="rId5" w:type="default"/>
          <w:type w:val="continuous"/>
          <w:pgSz w:w="11910" w:h="16840"/>
          <w:pgMar w:top="1880" w:right="850" w:bottom="1524" w:left="850" w:header="0" w:footer="535" w:gutter="0"/>
          <w:pgNumType w:start="1"/>
          <w:cols w:space="720" w:num="1"/>
        </w:sectPr>
      </w:pPr>
    </w:p>
    <w:tbl>
      <w:tblPr>
        <w:tblStyle w:val="5"/>
        <w:tblW w:w="0" w:type="auto"/>
        <w:tblInd w:w="346" w:type="dxa"/>
        <w:tblBorders>
          <w:top w:val="single" w:color="C8D4E2" w:sz="4" w:space="0"/>
          <w:left w:val="single" w:color="C8D4E2" w:sz="4" w:space="0"/>
          <w:bottom w:val="single" w:color="C8D4E2" w:sz="4" w:space="0"/>
          <w:right w:val="single" w:color="C8D4E2" w:sz="4" w:space="0"/>
          <w:insideH w:val="single" w:color="C8D4E2" w:sz="4" w:space="0"/>
          <w:insideV w:val="single" w:color="C8D4E2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8"/>
        <w:gridCol w:w="2268"/>
        <w:gridCol w:w="4819"/>
      </w:tblGrid>
      <w:tr w14:paraId="3C8224AF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438" w:type="dxa"/>
            <w:shd w:val="clear" w:color="auto" w:fill="16365D"/>
          </w:tcPr>
          <w:p w14:paraId="0267FEE7">
            <w:pPr>
              <w:pStyle w:val="9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Measure</w:t>
            </w:r>
          </w:p>
        </w:tc>
        <w:tc>
          <w:tcPr>
            <w:tcW w:w="2268" w:type="dxa"/>
            <w:shd w:val="clear" w:color="auto" w:fill="16365D"/>
          </w:tcPr>
          <w:p w14:paraId="389A69DA">
            <w:pPr>
              <w:pStyle w:val="9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Documented</w:t>
            </w:r>
            <w:r>
              <w:rPr>
                <w:b/>
                <w:color w:val="FFFFFF"/>
                <w:spacing w:val="19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value</w:t>
            </w:r>
          </w:p>
        </w:tc>
        <w:tc>
          <w:tcPr>
            <w:tcW w:w="4819" w:type="dxa"/>
            <w:shd w:val="clear" w:color="auto" w:fill="16365D"/>
          </w:tcPr>
          <w:p w14:paraId="219DABA8">
            <w:pPr>
              <w:pStyle w:val="9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How</w:t>
            </w:r>
            <w:r>
              <w:rPr>
                <w:b/>
                <w:color w:val="FFFFFF"/>
                <w:spacing w:val="6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to</w:t>
            </w:r>
            <w:r>
              <w:rPr>
                <w:b/>
                <w:color w:val="FFFFFF"/>
                <w:spacing w:val="6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read</w:t>
            </w:r>
            <w:r>
              <w:rPr>
                <w:b/>
                <w:color w:val="FFFFFF"/>
                <w:spacing w:val="6"/>
                <w:sz w:val="15"/>
              </w:rPr>
              <w:t xml:space="preserve"> </w:t>
            </w:r>
            <w:r>
              <w:rPr>
                <w:b/>
                <w:color w:val="FFFFFF"/>
                <w:spacing w:val="-5"/>
                <w:sz w:val="15"/>
              </w:rPr>
              <w:t>it</w:t>
            </w:r>
          </w:p>
        </w:tc>
      </w:tr>
      <w:tr w14:paraId="33301CB8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438" w:type="dxa"/>
          </w:tcPr>
          <w:p w14:paraId="27851579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Average</w:t>
            </w:r>
            <w:r>
              <w:rPr>
                <w:color w:val="233142"/>
                <w:spacing w:val="8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trip</w:t>
            </w:r>
            <w:r>
              <w:rPr>
                <w:color w:val="233142"/>
                <w:spacing w:val="9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duration</w:t>
            </w:r>
          </w:p>
        </w:tc>
        <w:tc>
          <w:tcPr>
            <w:tcW w:w="2268" w:type="dxa"/>
          </w:tcPr>
          <w:p w14:paraId="20A9C302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17.64</w:t>
            </w:r>
            <w:r>
              <w:rPr>
                <w:color w:val="233142"/>
                <w:spacing w:val="8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minutes</w:t>
            </w:r>
          </w:p>
        </w:tc>
        <w:tc>
          <w:tcPr>
            <w:tcW w:w="4819" w:type="dxa"/>
          </w:tcPr>
          <w:p w14:paraId="000C428D">
            <w:pPr>
              <w:pStyle w:val="9"/>
              <w:spacing w:line="264" w:lineRule="auto"/>
              <w:ind w:right="274"/>
              <w:rPr>
                <w:sz w:val="15"/>
              </w:rPr>
            </w:pPr>
            <w:r>
              <w:rPr>
                <w:color w:val="233142"/>
                <w:sz w:val="15"/>
              </w:rPr>
              <w:t>Project-recorded average duration; use the project KPI definition when comparing.</w:t>
            </w:r>
          </w:p>
        </w:tc>
      </w:tr>
      <w:tr w14:paraId="696D5E03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438" w:type="dxa"/>
            <w:shd w:val="clear" w:color="auto" w:fill="E9F2F7"/>
          </w:tcPr>
          <w:p w14:paraId="728E16DA">
            <w:pPr>
              <w:pStyle w:val="9"/>
              <w:spacing w:line="264" w:lineRule="auto"/>
              <w:ind w:right="187"/>
              <w:rPr>
                <w:sz w:val="15"/>
              </w:rPr>
            </w:pPr>
            <w:r>
              <w:rPr>
                <w:color w:val="233142"/>
                <w:sz w:val="15"/>
              </w:rPr>
              <w:t xml:space="preserve">JFK + LaGuardia pickup </w:t>
            </w:r>
            <w:r>
              <w:rPr>
                <w:color w:val="233142"/>
                <w:spacing w:val="-2"/>
                <w:sz w:val="15"/>
              </w:rPr>
              <w:t>revenue</w:t>
            </w:r>
          </w:p>
        </w:tc>
        <w:tc>
          <w:tcPr>
            <w:tcW w:w="2268" w:type="dxa"/>
            <w:shd w:val="clear" w:color="auto" w:fill="E9F2F7"/>
          </w:tcPr>
          <w:p w14:paraId="1DF09D63">
            <w:pPr>
              <w:pStyle w:val="9"/>
              <w:rPr>
                <w:sz w:val="15"/>
              </w:rPr>
            </w:pPr>
            <w:r>
              <w:rPr>
                <w:color w:val="233142"/>
                <w:spacing w:val="-2"/>
                <w:sz w:val="15"/>
              </w:rPr>
              <w:t>~$14.33M</w:t>
            </w:r>
          </w:p>
        </w:tc>
        <w:tc>
          <w:tcPr>
            <w:tcW w:w="4819" w:type="dxa"/>
            <w:shd w:val="clear" w:color="auto" w:fill="E9F2F7"/>
          </w:tcPr>
          <w:p w14:paraId="48511C27">
            <w:pPr>
              <w:pStyle w:val="9"/>
              <w:spacing w:line="264" w:lineRule="auto"/>
              <w:ind w:right="50"/>
              <w:rPr>
                <w:sz w:val="15"/>
              </w:rPr>
            </w:pPr>
            <w:r>
              <w:rPr>
                <w:color w:val="233142"/>
                <w:sz w:val="15"/>
              </w:rPr>
              <w:t xml:space="preserve">Pickup-zone revenue only; not every airport-bound or airport-origin </w:t>
            </w:r>
            <w:r>
              <w:rPr>
                <w:color w:val="233142"/>
                <w:spacing w:val="-2"/>
                <w:sz w:val="15"/>
              </w:rPr>
              <w:t>trip.</w:t>
            </w:r>
          </w:p>
        </w:tc>
      </w:tr>
      <w:tr w14:paraId="0C3A1404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438" w:type="dxa"/>
          </w:tcPr>
          <w:p w14:paraId="4084D836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Route</w:t>
            </w:r>
            <w:r>
              <w:rPr>
                <w:color w:val="233142"/>
                <w:spacing w:val="11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imbalance</w:t>
            </w:r>
            <w:r>
              <w:rPr>
                <w:color w:val="233142"/>
                <w:spacing w:val="12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threshold</w:t>
            </w:r>
          </w:p>
        </w:tc>
        <w:tc>
          <w:tcPr>
            <w:tcW w:w="2268" w:type="dxa"/>
          </w:tcPr>
          <w:p w14:paraId="06C00E7F">
            <w:pPr>
              <w:pStyle w:val="9"/>
              <w:spacing w:line="264" w:lineRule="auto"/>
              <w:ind w:right="86"/>
              <w:rPr>
                <w:sz w:val="15"/>
              </w:rPr>
            </w:pPr>
            <w:r>
              <w:rPr>
                <w:color w:val="233142"/>
                <w:sz w:val="15"/>
              </w:rPr>
              <w:t xml:space="preserve">14 rows at imbalance_pct &gt;= </w:t>
            </w:r>
            <w:r>
              <w:rPr>
                <w:color w:val="233142"/>
                <w:spacing w:val="-6"/>
                <w:sz w:val="15"/>
              </w:rPr>
              <w:t>50</w:t>
            </w:r>
          </w:p>
        </w:tc>
        <w:tc>
          <w:tcPr>
            <w:tcW w:w="4819" w:type="dxa"/>
          </w:tcPr>
          <w:p w14:paraId="29A8F1BF">
            <w:pPr>
              <w:pStyle w:val="9"/>
              <w:spacing w:line="264" w:lineRule="auto"/>
              <w:rPr>
                <w:sz w:val="15"/>
              </w:rPr>
            </w:pPr>
            <w:r>
              <w:rPr>
                <w:color w:val="233142"/>
                <w:sz w:val="15"/>
              </w:rPr>
              <w:t xml:space="preserve">Count of rows meeting the documented threshold in </w:t>
            </w:r>
            <w:r>
              <w:rPr>
                <w:color w:val="233142"/>
                <w:spacing w:val="-2"/>
                <w:sz w:val="15"/>
              </w:rPr>
              <w:t>route_directionality_analysis.</w:t>
            </w:r>
          </w:p>
        </w:tc>
      </w:tr>
      <w:tr w14:paraId="72795354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438" w:type="dxa"/>
            <w:shd w:val="clear" w:color="auto" w:fill="E9F2F7"/>
          </w:tcPr>
          <w:p w14:paraId="24A4912B">
            <w:pPr>
              <w:pStyle w:val="9"/>
              <w:spacing w:line="264" w:lineRule="auto"/>
              <w:ind w:right="187"/>
              <w:rPr>
                <w:sz w:val="15"/>
              </w:rPr>
            </w:pPr>
            <w:r>
              <w:rPr>
                <w:color w:val="233142"/>
                <w:sz w:val="15"/>
              </w:rPr>
              <w:t xml:space="preserve">Absolute route revenue </w:t>
            </w:r>
            <w:r>
              <w:rPr>
                <w:color w:val="233142"/>
                <w:spacing w:val="-2"/>
                <w:sz w:val="15"/>
              </w:rPr>
              <w:t>difference</w:t>
            </w:r>
          </w:p>
        </w:tc>
        <w:tc>
          <w:tcPr>
            <w:tcW w:w="2268" w:type="dxa"/>
            <w:shd w:val="clear" w:color="auto" w:fill="E9F2F7"/>
          </w:tcPr>
          <w:p w14:paraId="26518120">
            <w:pPr>
              <w:pStyle w:val="9"/>
              <w:rPr>
                <w:sz w:val="15"/>
              </w:rPr>
            </w:pPr>
            <w:r>
              <w:rPr>
                <w:color w:val="233142"/>
                <w:spacing w:val="-2"/>
                <w:sz w:val="15"/>
              </w:rPr>
              <w:t>~$3.51M</w:t>
            </w:r>
          </w:p>
        </w:tc>
        <w:tc>
          <w:tcPr>
            <w:tcW w:w="4819" w:type="dxa"/>
            <w:shd w:val="clear" w:color="auto" w:fill="E9F2F7"/>
          </w:tcPr>
          <w:p w14:paraId="52A2C09B">
            <w:pPr>
              <w:pStyle w:val="9"/>
              <w:spacing w:line="264" w:lineRule="auto"/>
              <w:ind w:right="274"/>
              <w:rPr>
                <w:sz w:val="15"/>
              </w:rPr>
            </w:pPr>
            <w:r>
              <w:rPr>
                <w:color w:val="233142"/>
                <w:sz w:val="15"/>
              </w:rPr>
              <w:t>SUM(ABS(revenue_difference)); gross absolute magnitude, not profit or recoverable revenue.</w:t>
            </w:r>
          </w:p>
        </w:tc>
      </w:tr>
    </w:tbl>
    <w:p w14:paraId="63F01760">
      <w:pPr>
        <w:pStyle w:val="3"/>
        <w:numPr>
          <w:ilvl w:val="0"/>
          <w:numId w:val="1"/>
        </w:numPr>
        <w:tabs>
          <w:tab w:val="left" w:pos="623"/>
        </w:tabs>
        <w:spacing w:before="254" w:after="0" w:line="240" w:lineRule="auto"/>
        <w:ind w:left="623" w:right="0" w:hanging="333"/>
        <w:jc w:val="left"/>
      </w:pPr>
      <w:r>
        <w:rPr>
          <w:color w:val="16365D"/>
        </w:rPr>
        <w:t xml:space="preserve">Interpreting business </w:t>
      </w:r>
      <w:r>
        <w:rPr>
          <w:color w:val="16365D"/>
          <w:spacing w:val="-2"/>
        </w:rPr>
        <w:t>opportunities</w:t>
      </w:r>
    </w:p>
    <w:p w14:paraId="2034F879">
      <w:pPr>
        <w:pStyle w:val="6"/>
        <w:spacing w:before="148" w:line="302" w:lineRule="auto"/>
        <w:ind w:left="290" w:right="289"/>
      </w:pPr>
      <w:r>
        <w:rPr>
          <w:color w:val="233142"/>
        </w:rPr>
        <w:t>Scenario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outputs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at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1%,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2%,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3%,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and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5%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are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illustrative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calculations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that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show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how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a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hypothetical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change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would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affect</w:t>
      </w:r>
      <w:r>
        <w:rPr>
          <w:color w:val="233142"/>
          <w:spacing w:val="-2"/>
        </w:rPr>
        <w:t xml:space="preserve"> </w:t>
      </w:r>
      <w:r>
        <w:rPr>
          <w:color w:val="233142"/>
        </w:rPr>
        <w:t>a selected baseline. They are not a forecast, a causal estimate, or a guarantee of realized revenue.</w:t>
      </w:r>
    </w:p>
    <w:p w14:paraId="1E3C2E1C">
      <w:pPr>
        <w:pStyle w:val="6"/>
        <w:spacing w:before="118" w:line="302" w:lineRule="auto"/>
        <w:ind w:left="290" w:right="289"/>
      </w:pPr>
      <w:r>
        <w:rPr>
          <w:color w:val="233142"/>
        </w:rPr>
        <w:t>A route revenue difference may help identify where directional performance differs, but it does not establish that the difference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can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be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recovered.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Operational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feasibility,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demand,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costs,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driver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behavior,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and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external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factors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are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not</w:t>
      </w:r>
      <w:r>
        <w:rPr>
          <w:color w:val="233142"/>
          <w:spacing w:val="-3"/>
        </w:rPr>
        <w:t xml:space="preserve"> </w:t>
      </w:r>
      <w:r>
        <w:rPr>
          <w:color w:val="233142"/>
        </w:rPr>
        <w:t>proven by this analysis alone.</w:t>
      </w:r>
    </w:p>
    <w:p w14:paraId="1BB4F04E">
      <w:pPr>
        <w:pStyle w:val="6"/>
        <w:spacing w:before="18"/>
      </w:pPr>
    </w:p>
    <w:p w14:paraId="15835CC1">
      <w:pPr>
        <w:pStyle w:val="3"/>
        <w:numPr>
          <w:ilvl w:val="0"/>
          <w:numId w:val="1"/>
        </w:numPr>
        <w:tabs>
          <w:tab w:val="left" w:pos="623"/>
        </w:tabs>
        <w:spacing w:before="0" w:after="0" w:line="240" w:lineRule="auto"/>
        <w:ind w:left="623" w:right="0" w:hanging="333"/>
        <w:jc w:val="left"/>
      </w:pPr>
      <w:r>
        <w:rPr>
          <w:color w:val="16365D"/>
        </w:rPr>
        <w:t xml:space="preserve">Reading data-quality </w:t>
      </w:r>
      <w:r>
        <w:rPr>
          <w:color w:val="16365D"/>
          <w:spacing w:val="-2"/>
        </w:rPr>
        <w:t>decisions</w:t>
      </w:r>
    </w:p>
    <w:p w14:paraId="2DE1290E">
      <w:pPr>
        <w:pStyle w:val="6"/>
        <w:spacing w:before="9"/>
        <w:rPr>
          <w:b/>
          <w:sz w:val="9"/>
        </w:rPr>
      </w:pPr>
    </w:p>
    <w:tbl>
      <w:tblPr>
        <w:tblStyle w:val="5"/>
        <w:tblW w:w="0" w:type="auto"/>
        <w:tblInd w:w="346" w:type="dxa"/>
        <w:tblBorders>
          <w:top w:val="single" w:color="C8D4E2" w:sz="4" w:space="0"/>
          <w:left w:val="single" w:color="C8D4E2" w:sz="4" w:space="0"/>
          <w:bottom w:val="single" w:color="C8D4E2" w:sz="4" w:space="0"/>
          <w:right w:val="single" w:color="C8D4E2" w:sz="4" w:space="0"/>
          <w:insideH w:val="single" w:color="C8D4E2" w:sz="4" w:space="0"/>
          <w:insideV w:val="single" w:color="C8D4E2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1"/>
        <w:gridCol w:w="6292"/>
      </w:tblGrid>
      <w:tr w14:paraId="69BE1453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3231" w:type="dxa"/>
            <w:shd w:val="clear" w:color="auto" w:fill="16365D"/>
          </w:tcPr>
          <w:p w14:paraId="49B193A9">
            <w:pPr>
              <w:pStyle w:val="9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Decision</w:t>
            </w:r>
          </w:p>
        </w:tc>
        <w:tc>
          <w:tcPr>
            <w:tcW w:w="6292" w:type="dxa"/>
            <w:shd w:val="clear" w:color="auto" w:fill="16365D"/>
          </w:tcPr>
          <w:p w14:paraId="3A00F34D">
            <w:pPr>
              <w:pStyle w:val="9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Meaning</w:t>
            </w:r>
            <w:r>
              <w:rPr>
                <w:b/>
                <w:color w:val="FFFFFF"/>
                <w:spacing w:val="10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for</w:t>
            </w:r>
            <w:r>
              <w:rPr>
                <w:b/>
                <w:color w:val="FFFFFF"/>
                <w:spacing w:val="10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the</w:t>
            </w:r>
            <w:r>
              <w:rPr>
                <w:b/>
                <w:color w:val="FFFFFF"/>
                <w:spacing w:val="10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dashboard</w:t>
            </w:r>
            <w:r>
              <w:rPr>
                <w:b/>
                <w:color w:val="FFFFFF"/>
                <w:spacing w:val="10"/>
                <w:sz w:val="15"/>
              </w:rPr>
              <w:t xml:space="preserve"> </w:t>
            </w:r>
            <w:r>
              <w:rPr>
                <w:b/>
                <w:color w:val="FFFFFF"/>
                <w:spacing w:val="-4"/>
                <w:sz w:val="15"/>
              </w:rPr>
              <w:t>user</w:t>
            </w:r>
          </w:p>
        </w:tc>
      </w:tr>
      <w:tr w14:paraId="3F02EBD1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3231" w:type="dxa"/>
          </w:tcPr>
          <w:p w14:paraId="4C45CED5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Timestamp</w:t>
            </w:r>
            <w:r>
              <w:rPr>
                <w:color w:val="233142"/>
                <w:spacing w:val="13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/</w:t>
            </w:r>
            <w:r>
              <w:rPr>
                <w:color w:val="233142"/>
                <w:spacing w:val="14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negative-duration</w:t>
            </w:r>
            <w:r>
              <w:rPr>
                <w:color w:val="233142"/>
                <w:spacing w:val="14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cleaning</w:t>
            </w:r>
          </w:p>
        </w:tc>
        <w:tc>
          <w:tcPr>
            <w:tcW w:w="6292" w:type="dxa"/>
          </w:tcPr>
          <w:p w14:paraId="65E0D425">
            <w:pPr>
              <w:pStyle w:val="9"/>
              <w:spacing w:line="264" w:lineRule="auto"/>
              <w:rPr>
                <w:sz w:val="15"/>
              </w:rPr>
            </w:pPr>
            <w:r>
              <w:rPr>
                <w:color w:val="233142"/>
                <w:sz w:val="15"/>
              </w:rPr>
              <w:t>Documented row-level cleaning rules were applied before analysis. Vendor 7 timestamp equality alone should not be assumed to prove every matched row is a duplicate.</w:t>
            </w:r>
          </w:p>
        </w:tc>
      </w:tr>
      <w:tr w14:paraId="4FD5C722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3231" w:type="dxa"/>
            <w:shd w:val="clear" w:color="auto" w:fill="E9F2F7"/>
          </w:tcPr>
          <w:p w14:paraId="714E9781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&gt;120-minute</w:t>
            </w:r>
            <w:r>
              <w:rPr>
                <w:color w:val="233142"/>
                <w:spacing w:val="14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duration</w:t>
            </w:r>
            <w:r>
              <w:rPr>
                <w:color w:val="233142"/>
                <w:spacing w:val="15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threshold</w:t>
            </w:r>
          </w:p>
        </w:tc>
        <w:tc>
          <w:tcPr>
            <w:tcW w:w="6292" w:type="dxa"/>
            <w:shd w:val="clear" w:color="auto" w:fill="E9F2F7"/>
          </w:tcPr>
          <w:p w14:paraId="0A3FFE33">
            <w:pPr>
              <w:pStyle w:val="9"/>
              <w:spacing w:line="264" w:lineRule="auto"/>
              <w:rPr>
                <w:sz w:val="15"/>
              </w:rPr>
            </w:pPr>
            <w:r>
              <w:rPr>
                <w:color w:val="233142"/>
                <w:sz w:val="15"/>
              </w:rPr>
              <w:t>This is a project-defined analytical filter. A long trip is not automatically invalid under a universal TLC rule.</w:t>
            </w:r>
          </w:p>
        </w:tc>
      </w:tr>
      <w:tr w14:paraId="69AD6E69">
        <w:tblPrEx>
          <w:tblBorders>
            <w:top w:val="single" w:color="C8D4E2" w:sz="4" w:space="0"/>
            <w:left w:val="single" w:color="C8D4E2" w:sz="4" w:space="0"/>
            <w:bottom w:val="single" w:color="C8D4E2" w:sz="4" w:space="0"/>
            <w:right w:val="single" w:color="C8D4E2" w:sz="4" w:space="0"/>
            <w:insideH w:val="single" w:color="C8D4E2" w:sz="4" w:space="0"/>
            <w:insideV w:val="single" w:color="C8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3231" w:type="dxa"/>
          </w:tcPr>
          <w:p w14:paraId="0C014EAD">
            <w:pPr>
              <w:pStyle w:val="9"/>
              <w:rPr>
                <w:sz w:val="15"/>
              </w:rPr>
            </w:pPr>
            <w:r>
              <w:rPr>
                <w:color w:val="233142"/>
                <w:sz w:val="15"/>
              </w:rPr>
              <w:t>February</w:t>
            </w:r>
            <w:r>
              <w:rPr>
                <w:color w:val="233142"/>
                <w:spacing w:val="8"/>
                <w:sz w:val="15"/>
              </w:rPr>
              <w:t xml:space="preserve"> </w:t>
            </w:r>
            <w:r>
              <w:rPr>
                <w:color w:val="233142"/>
                <w:sz w:val="15"/>
              </w:rPr>
              <w:t>23</w:t>
            </w:r>
            <w:r>
              <w:rPr>
                <w:color w:val="233142"/>
                <w:spacing w:val="9"/>
                <w:sz w:val="15"/>
              </w:rPr>
              <w:t xml:space="preserve"> </w:t>
            </w:r>
            <w:r>
              <w:rPr>
                <w:color w:val="233142"/>
                <w:spacing w:val="-2"/>
                <w:sz w:val="15"/>
              </w:rPr>
              <w:t>exclusion</w:t>
            </w:r>
          </w:p>
        </w:tc>
        <w:tc>
          <w:tcPr>
            <w:tcW w:w="6292" w:type="dxa"/>
          </w:tcPr>
          <w:p w14:paraId="2CC0283F">
            <w:pPr>
              <w:pStyle w:val="9"/>
              <w:spacing w:line="264" w:lineRule="auto"/>
              <w:ind w:right="187"/>
              <w:rPr>
                <w:sz w:val="15"/>
              </w:rPr>
            </w:pPr>
            <w:r>
              <w:rPr>
                <w:color w:val="233142"/>
                <w:sz w:val="15"/>
              </w:rPr>
              <w:t>The day was excluded due to unusually low volume and a likely coverage anomaly. Counts suggest an anomaly but do not prove its cause.</w:t>
            </w:r>
          </w:p>
        </w:tc>
      </w:tr>
    </w:tbl>
    <w:p w14:paraId="583D586F">
      <w:pPr>
        <w:pStyle w:val="3"/>
        <w:numPr>
          <w:ilvl w:val="0"/>
          <w:numId w:val="1"/>
        </w:numPr>
        <w:tabs>
          <w:tab w:val="left" w:pos="623"/>
        </w:tabs>
        <w:spacing w:before="233" w:after="0" w:line="240" w:lineRule="auto"/>
        <w:ind w:left="623" w:right="0" w:hanging="333"/>
        <w:jc w:val="left"/>
      </w:pPr>
      <w:r>
        <w:rPr>
          <w:color w:val="16365D"/>
        </w:rPr>
        <w:t xml:space="preserve">Suggested review </w:t>
      </w:r>
      <w:r>
        <w:rPr>
          <w:color w:val="16365D"/>
          <w:spacing w:val="-2"/>
        </w:rPr>
        <w:t>workflow</w:t>
      </w:r>
    </w:p>
    <w:p w14:paraId="756EA5CE">
      <w:pPr>
        <w:pStyle w:val="8"/>
        <w:numPr>
          <w:ilvl w:val="1"/>
          <w:numId w:val="1"/>
        </w:numPr>
        <w:tabs>
          <w:tab w:val="left" w:pos="403"/>
        </w:tabs>
        <w:spacing w:before="147" w:after="0" w:line="240" w:lineRule="auto"/>
        <w:ind w:left="403" w:right="0" w:hanging="113"/>
        <w:jc w:val="left"/>
        <w:rPr>
          <w:sz w:val="18"/>
        </w:rPr>
      </w:pPr>
      <w:r>
        <w:rPr>
          <w:color w:val="233142"/>
          <w:sz w:val="18"/>
        </w:rPr>
        <w:t xml:space="preserve">Start with the Executive Dashboard and Executive Overview to understand the overall </w:t>
      </w:r>
      <w:r>
        <w:rPr>
          <w:color w:val="233142"/>
          <w:spacing w:val="-2"/>
          <w:sz w:val="18"/>
        </w:rPr>
        <w:t>findings.</w:t>
      </w:r>
    </w:p>
    <w:p w14:paraId="425F941E">
      <w:pPr>
        <w:pStyle w:val="8"/>
        <w:numPr>
          <w:ilvl w:val="1"/>
          <w:numId w:val="1"/>
        </w:numPr>
        <w:tabs>
          <w:tab w:val="left" w:pos="403"/>
        </w:tabs>
        <w:spacing w:before="173" w:after="0" w:line="302" w:lineRule="auto"/>
        <w:ind w:left="290" w:right="475" w:firstLine="0"/>
        <w:jc w:val="left"/>
        <w:rPr>
          <w:sz w:val="18"/>
        </w:rPr>
      </w:pPr>
      <w:r>
        <w:rPr>
          <w:color w:val="233142"/>
          <w:sz w:val="18"/>
        </w:rPr>
        <w:t>Review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Demand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&amp;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Time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Intelligence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before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comparing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dates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or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time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periods;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remember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that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February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23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is</w:t>
      </w:r>
      <w:r>
        <w:rPr>
          <w:color w:val="233142"/>
          <w:spacing w:val="-3"/>
          <w:sz w:val="18"/>
        </w:rPr>
        <w:t xml:space="preserve"> </w:t>
      </w:r>
      <w:r>
        <w:rPr>
          <w:color w:val="233142"/>
          <w:sz w:val="18"/>
        </w:rPr>
        <w:t>excluded from the business-analysis population.</w:t>
      </w:r>
    </w:p>
    <w:p w14:paraId="7575D68B">
      <w:pPr>
        <w:pStyle w:val="8"/>
        <w:numPr>
          <w:ilvl w:val="1"/>
          <w:numId w:val="1"/>
        </w:numPr>
        <w:tabs>
          <w:tab w:val="left" w:pos="403"/>
        </w:tabs>
        <w:spacing w:before="119" w:after="0" w:line="240" w:lineRule="auto"/>
        <w:ind w:left="403" w:right="0" w:hanging="113"/>
        <w:jc w:val="left"/>
        <w:rPr>
          <w:sz w:val="18"/>
        </w:rPr>
      </w:pPr>
      <w:r>
        <w:rPr>
          <w:color w:val="233142"/>
          <w:sz w:val="18"/>
        </w:rPr>
        <w:t xml:space="preserve">Use Location Intelligence to explore pickup geography, keeping pickup-zone definitions </w:t>
      </w:r>
      <w:r>
        <w:rPr>
          <w:color w:val="233142"/>
          <w:spacing w:val="-2"/>
          <w:sz w:val="18"/>
        </w:rPr>
        <w:t>clear.</w:t>
      </w:r>
    </w:p>
    <w:p w14:paraId="1A607B3B">
      <w:pPr>
        <w:pStyle w:val="8"/>
        <w:numPr>
          <w:ilvl w:val="1"/>
          <w:numId w:val="1"/>
        </w:numPr>
        <w:tabs>
          <w:tab w:val="left" w:pos="403"/>
        </w:tabs>
        <w:spacing w:before="173" w:after="0" w:line="240" w:lineRule="auto"/>
        <w:ind w:left="403" w:right="0" w:hanging="113"/>
        <w:jc w:val="left"/>
        <w:rPr>
          <w:sz w:val="18"/>
        </w:rPr>
      </w:pPr>
      <w:r>
        <w:rPr>
          <w:color w:val="233142"/>
          <w:sz w:val="18"/>
        </w:rPr>
        <w:t xml:space="preserve">Use Route &amp; Airport Intelligence to review directional differences and the restricted scope of airport pickup </w:t>
      </w:r>
      <w:r>
        <w:rPr>
          <w:color w:val="233142"/>
          <w:spacing w:val="-2"/>
          <w:sz w:val="18"/>
        </w:rPr>
        <w:t>revenue.</w:t>
      </w:r>
    </w:p>
    <w:p w14:paraId="7ADE1BFC">
      <w:pPr>
        <w:pStyle w:val="8"/>
        <w:numPr>
          <w:ilvl w:val="1"/>
          <w:numId w:val="1"/>
        </w:numPr>
        <w:tabs>
          <w:tab w:val="left" w:pos="403"/>
        </w:tabs>
        <w:spacing w:before="173" w:after="0" w:line="240" w:lineRule="auto"/>
        <w:ind w:left="403" w:right="0" w:hanging="113"/>
        <w:jc w:val="left"/>
        <w:rPr>
          <w:sz w:val="18"/>
        </w:rPr>
      </w:pPr>
      <w:r>
        <w:rPr>
          <w:color w:val="233142"/>
          <w:sz w:val="18"/>
        </w:rPr>
        <w:t xml:space="preserve">Review Business Opportunities last, and label all revenue scenarios as </w:t>
      </w:r>
      <w:r>
        <w:rPr>
          <w:color w:val="233142"/>
          <w:spacing w:val="-2"/>
          <w:sz w:val="18"/>
        </w:rPr>
        <w:t>illustrative.</w:t>
      </w:r>
    </w:p>
    <w:p w14:paraId="0EBFD0F4">
      <w:pPr>
        <w:pStyle w:val="8"/>
        <w:numPr>
          <w:ilvl w:val="1"/>
          <w:numId w:val="1"/>
        </w:numPr>
        <w:tabs>
          <w:tab w:val="left" w:pos="403"/>
        </w:tabs>
        <w:spacing w:before="173" w:after="0" w:line="240" w:lineRule="auto"/>
        <w:ind w:left="403" w:right="0" w:hanging="113"/>
        <w:jc w:val="left"/>
        <w:rPr>
          <w:sz w:val="18"/>
        </w:rPr>
      </w:pPr>
      <w:r>
        <w:rPr>
          <w:color w:val="233142"/>
          <w:sz w:val="18"/>
        </w:rPr>
        <w:t xml:space="preserve">When quoting a KPI externally, include its unit, population, and relevant </w:t>
      </w:r>
      <w:r>
        <w:rPr>
          <w:color w:val="233142"/>
          <w:spacing w:val="-2"/>
          <w:sz w:val="18"/>
        </w:rPr>
        <w:t>caveat.</w:t>
      </w:r>
    </w:p>
    <w:p w14:paraId="0322D972">
      <w:pPr>
        <w:pStyle w:val="6"/>
        <w:spacing w:before="73"/>
      </w:pPr>
    </w:p>
    <w:p w14:paraId="72E8F76C">
      <w:pPr>
        <w:pStyle w:val="3"/>
        <w:numPr>
          <w:ilvl w:val="0"/>
          <w:numId w:val="1"/>
        </w:numPr>
        <w:tabs>
          <w:tab w:val="left" w:pos="623"/>
        </w:tabs>
        <w:spacing w:before="0" w:after="0" w:line="240" w:lineRule="auto"/>
        <w:ind w:left="623" w:right="0" w:hanging="333"/>
        <w:jc w:val="left"/>
      </w:pPr>
      <w:r>
        <w:rPr>
          <w:color w:val="16365D"/>
        </w:rPr>
        <w:t xml:space="preserve">Reporting and presentation </w:t>
      </w:r>
      <w:r>
        <w:rPr>
          <w:color w:val="16365D"/>
          <w:spacing w:val="-2"/>
        </w:rPr>
        <w:t>checklist</w:t>
      </w:r>
    </w:p>
    <w:p w14:paraId="09FEE94B">
      <w:pPr>
        <w:pStyle w:val="8"/>
        <w:numPr>
          <w:ilvl w:val="1"/>
          <w:numId w:val="1"/>
        </w:numPr>
        <w:tabs>
          <w:tab w:val="left" w:pos="403"/>
        </w:tabs>
        <w:spacing w:before="148" w:after="0" w:line="240" w:lineRule="auto"/>
        <w:ind w:left="403" w:right="0" w:hanging="113"/>
        <w:jc w:val="left"/>
        <w:rPr>
          <w:sz w:val="18"/>
        </w:rPr>
      </w:pPr>
      <w:r>
        <w:rPr>
          <w:color w:val="233142"/>
          <w:sz w:val="18"/>
        </w:rPr>
        <w:t xml:space="preserve">State that the analysis covers 27 days, with February 23 </w:t>
      </w:r>
      <w:r>
        <w:rPr>
          <w:color w:val="233142"/>
          <w:spacing w:val="-2"/>
          <w:sz w:val="18"/>
        </w:rPr>
        <w:t>excluded.</w:t>
      </w:r>
    </w:p>
    <w:p w14:paraId="31261556">
      <w:pPr>
        <w:pStyle w:val="8"/>
        <w:numPr>
          <w:ilvl w:val="1"/>
          <w:numId w:val="1"/>
        </w:numPr>
        <w:tabs>
          <w:tab w:val="left" w:pos="403"/>
        </w:tabs>
        <w:spacing w:before="173" w:after="0" w:line="240" w:lineRule="auto"/>
        <w:ind w:left="403" w:right="0" w:hanging="113"/>
        <w:jc w:val="left"/>
        <w:rPr>
          <w:sz w:val="18"/>
        </w:rPr>
      </w:pPr>
      <w:r>
        <w:rPr>
          <w:color w:val="233142"/>
          <w:sz w:val="18"/>
        </w:rPr>
        <w:t xml:space="preserve">Use consistent currency formatting and identify aggregate ratios </w:t>
      </w:r>
      <w:r>
        <w:rPr>
          <w:color w:val="233142"/>
          <w:spacing w:val="-2"/>
          <w:sz w:val="18"/>
        </w:rPr>
        <w:t>accurately.</w:t>
      </w:r>
    </w:p>
    <w:p w14:paraId="3FC3D139">
      <w:pPr>
        <w:pStyle w:val="8"/>
        <w:numPr>
          <w:ilvl w:val="1"/>
          <w:numId w:val="1"/>
        </w:numPr>
        <w:tabs>
          <w:tab w:val="left" w:pos="403"/>
        </w:tabs>
        <w:spacing w:before="173" w:after="0" w:line="240" w:lineRule="auto"/>
        <w:ind w:left="403" w:right="0" w:hanging="113"/>
        <w:jc w:val="left"/>
        <w:rPr>
          <w:sz w:val="18"/>
        </w:rPr>
      </w:pPr>
      <w:r>
        <w:rPr>
          <w:color w:val="233142"/>
          <w:sz w:val="18"/>
        </w:rPr>
        <w:t xml:space="preserve">Describe the $14.33M figure as JFK + LaGuardia pickup-zone </w:t>
      </w:r>
      <w:r>
        <w:rPr>
          <w:color w:val="233142"/>
          <w:spacing w:val="-2"/>
          <w:sz w:val="18"/>
        </w:rPr>
        <w:t>revenue.</w:t>
      </w:r>
    </w:p>
    <w:p w14:paraId="31C25B66">
      <w:pPr>
        <w:pStyle w:val="8"/>
        <w:numPr>
          <w:ilvl w:val="1"/>
          <w:numId w:val="1"/>
        </w:numPr>
        <w:tabs>
          <w:tab w:val="left" w:pos="403"/>
        </w:tabs>
        <w:spacing w:before="173" w:after="0" w:line="240" w:lineRule="auto"/>
        <w:ind w:left="403" w:right="0" w:hanging="113"/>
        <w:jc w:val="left"/>
        <w:rPr>
          <w:sz w:val="18"/>
        </w:rPr>
      </w:pPr>
      <w:r>
        <w:rPr>
          <w:color w:val="233142"/>
          <w:sz w:val="18"/>
        </w:rPr>
        <w:t xml:space="preserve">Describe the ~$3.51M route difference as gross absolute magnitude, not recoverable revenue or </w:t>
      </w:r>
      <w:r>
        <w:rPr>
          <w:color w:val="233142"/>
          <w:spacing w:val="-2"/>
          <w:sz w:val="18"/>
        </w:rPr>
        <w:t>profit.</w:t>
      </w:r>
    </w:p>
    <w:p w14:paraId="59050C67">
      <w:pPr>
        <w:pStyle w:val="8"/>
        <w:numPr>
          <w:ilvl w:val="1"/>
          <w:numId w:val="1"/>
        </w:numPr>
        <w:tabs>
          <w:tab w:val="left" w:pos="403"/>
        </w:tabs>
        <w:spacing w:before="173" w:after="0" w:line="240" w:lineRule="auto"/>
        <w:ind w:left="403" w:right="0" w:hanging="113"/>
        <w:jc w:val="left"/>
        <w:rPr>
          <w:sz w:val="18"/>
        </w:rPr>
      </w:pPr>
      <w:r>
        <w:rPr>
          <w:color w:val="233142"/>
          <w:sz w:val="18"/>
        </w:rPr>
        <w:t xml:space="preserve">Identify 1%, 2%, 3%, and 5% outputs as hypothetical </w:t>
      </w:r>
      <w:r>
        <w:rPr>
          <w:color w:val="233142"/>
          <w:spacing w:val="-2"/>
          <w:sz w:val="18"/>
        </w:rPr>
        <w:t>scenarios.</w:t>
      </w:r>
    </w:p>
    <w:p w14:paraId="3F1290D2">
      <w:pPr>
        <w:pStyle w:val="8"/>
        <w:numPr>
          <w:ilvl w:val="1"/>
          <w:numId w:val="1"/>
        </w:numPr>
        <w:tabs>
          <w:tab w:val="left" w:pos="403"/>
        </w:tabs>
        <w:spacing w:before="173" w:after="0" w:line="240" w:lineRule="auto"/>
        <w:ind w:left="403" w:right="0" w:hanging="113"/>
        <w:jc w:val="left"/>
        <w:rPr>
          <w:sz w:val="18"/>
        </w:rPr>
      </w:pPr>
      <w:r>
        <w:rPr>
          <w:color w:val="233142"/>
          <w:sz w:val="18"/>
        </w:rPr>
        <w:t xml:space="preserve">Avoid claiming that every excluded record was </w:t>
      </w:r>
      <w:r>
        <w:rPr>
          <w:color w:val="233142"/>
          <w:spacing w:val="-2"/>
          <w:sz w:val="18"/>
        </w:rPr>
        <w:t>erroneous.</w:t>
      </w:r>
    </w:p>
    <w:p w14:paraId="44ECF555">
      <w:pPr>
        <w:pStyle w:val="6"/>
        <w:spacing w:before="73"/>
      </w:pPr>
    </w:p>
    <w:p w14:paraId="4DD4FDE0">
      <w:pPr>
        <w:pStyle w:val="6"/>
        <w:spacing w:before="18"/>
      </w:pPr>
    </w:p>
    <w:p w14:paraId="2BB42CF5">
      <w:pPr>
        <w:pStyle w:val="6"/>
        <w:spacing w:before="18"/>
      </w:pPr>
    </w:p>
    <w:p w14:paraId="56584EEF">
      <w:pPr>
        <w:pStyle w:val="6"/>
        <w:spacing w:before="18"/>
      </w:pPr>
    </w:p>
    <w:p w14:paraId="201FDF59">
      <w:pPr>
        <w:pStyle w:val="6"/>
        <w:spacing w:before="18"/>
      </w:pPr>
    </w:p>
    <w:p w14:paraId="335B4CF0">
      <w:pPr>
        <w:pStyle w:val="3"/>
        <w:numPr>
          <w:ilvl w:val="0"/>
          <w:numId w:val="1"/>
        </w:numPr>
        <w:tabs>
          <w:tab w:val="left" w:pos="623"/>
        </w:tabs>
        <w:spacing w:before="0" w:after="0" w:line="240" w:lineRule="auto"/>
        <w:ind w:left="623" w:right="0" w:hanging="333"/>
        <w:jc w:val="left"/>
      </w:pPr>
      <w:r>
        <w:rPr>
          <w:color w:val="16365D"/>
        </w:rPr>
        <w:t xml:space="preserve">Quick </w:t>
      </w:r>
      <w:r>
        <w:rPr>
          <w:color w:val="16365D"/>
          <w:spacing w:val="-2"/>
        </w:rPr>
        <w:t>reference</w:t>
      </w:r>
    </w:p>
    <w:p w14:paraId="63416D9B">
      <w:pPr>
        <w:pStyle w:val="3"/>
        <w:numPr>
          <w:numId w:val="0"/>
        </w:numPr>
        <w:tabs>
          <w:tab w:val="left" w:pos="623"/>
        </w:tabs>
        <w:spacing w:before="0" w:after="0" w:line="240" w:lineRule="auto"/>
        <w:ind w:left="290" w:leftChars="0" w:right="0" w:rightChars="0"/>
        <w:jc w:val="left"/>
      </w:pPr>
    </w:p>
    <w:p w14:paraId="709677BE">
      <w:pPr>
        <w:pStyle w:val="6"/>
        <w:rPr>
          <w:b/>
          <w:sz w:val="15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706120</wp:posOffset>
                </wp:positionH>
                <wp:positionV relativeFrom="paragraph">
                  <wp:posOffset>30480</wp:posOffset>
                </wp:positionV>
                <wp:extent cx="6315075" cy="1524000"/>
                <wp:effectExtent l="0" t="0" r="0" b="0"/>
                <wp:wrapNone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075" cy="1524000"/>
                        </a:xfrm>
                        <a:prstGeom prst="rect">
                          <a:avLst/>
                        </a:prstGeom>
                        <a:solidFill>
                          <a:srgbClr val="E2F4F2"/>
                        </a:solidFill>
                        <a:ln w="7619">
                          <a:solidFill>
                            <a:srgbClr val="008C9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518CD9">
                            <w:pPr>
                              <w:spacing w:before="165" w:line="302" w:lineRule="auto"/>
                              <w:ind w:left="154" w:right="4504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b/>
                                <w:color w:val="16365D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analytical</w:t>
                            </w:r>
                            <w:r>
                              <w:rPr>
                                <w:b/>
                                <w:color w:val="16365D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table:</w:t>
                            </w:r>
                            <w:r>
                              <w:rPr>
                                <w:b/>
                                <w:color w:val="16365D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analytics_yellow_taxi_business Trips: 3,329,782</w:t>
                            </w:r>
                          </w:p>
                          <w:p w14:paraId="5CFCBF9B">
                            <w:pPr>
                              <w:spacing w:before="0" w:line="302" w:lineRule="auto"/>
                              <w:ind w:left="154" w:right="5857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Coverage:</w:t>
                            </w:r>
                            <w:r>
                              <w:rPr>
                                <w:b/>
                                <w:color w:val="16365D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27</w:t>
                            </w:r>
                            <w:r>
                              <w:rPr>
                                <w:b/>
                                <w:color w:val="16365D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days;</w:t>
                            </w:r>
                            <w:r>
                              <w:rPr>
                                <w:b/>
                                <w:color w:val="16365D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February</w:t>
                            </w:r>
                            <w:r>
                              <w:rPr>
                                <w:b/>
                                <w:color w:val="16365D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23</w:t>
                            </w:r>
                            <w:r>
                              <w:rPr>
                                <w:b/>
                                <w:color w:val="16365D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excluded Total amount: $100,340,136.16</w:t>
                            </w:r>
                          </w:p>
                          <w:p w14:paraId="347EB10D">
                            <w:pPr>
                              <w:spacing w:before="0" w:line="302" w:lineRule="auto"/>
                              <w:ind w:left="154" w:right="6408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Average total amount: $30.13 Aggregate</w:t>
                            </w:r>
                            <w:r>
                              <w:rPr>
                                <w:b/>
                                <w:color w:val="16365D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amount</w:t>
                            </w:r>
                            <w:r>
                              <w:rPr>
                                <w:b/>
                                <w:color w:val="16365D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per</w:t>
                            </w:r>
                            <w:r>
                              <w:rPr>
                                <w:b/>
                                <w:color w:val="16365D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mile:</w:t>
                            </w:r>
                            <w:r>
                              <w:rPr>
                                <w:b/>
                                <w:color w:val="16365D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>$4.78 Average duration: 17.64 minutes</w:t>
                            </w:r>
                          </w:p>
                          <w:p w14:paraId="0041CBF1">
                            <w:pPr>
                              <w:spacing w:before="0" w:line="205" w:lineRule="exact"/>
                              <w:ind w:left="154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6365D"/>
                                <w:sz w:val="18"/>
                              </w:rPr>
                              <w:t xml:space="preserve">JFK + LaGuardia pickup-zone revenue: approximately </w:t>
                            </w:r>
                            <w:r>
                              <w:rPr>
                                <w:b/>
                                <w:color w:val="16365D"/>
                                <w:spacing w:val="-2"/>
                                <w:sz w:val="18"/>
                              </w:rPr>
                              <w:t>$14.33M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55.6pt;margin-top:2.4pt;height:120pt;width:497.25pt;mso-position-horizontal-relative:page;z-index:-251655168;mso-width-relative:page;mso-height-relative:page;" fillcolor="#E2F4F2" filled="t" stroked="t" coordsize="21600,21600" o:gfxdata="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LCbOnTXAAAACgEAAA8AAAAAAAAAAQAgAAAAIgAAAGRycy9kb3ducmV2LnhtbFBLAQIU&#10;ABQAAAAIAIdO4kBX/Yau9AEAAAwEAAAOAAAAAAAAAAEAIAAAACYBAABkcnMvZTJvRG9jLnhtbFBL&#10;BQYAAAAABgAGAFkBAACMBQAAAAA=&#10;">
                <v:fill on="t" focussize="0,0"/>
                <v:stroke weight="0.59992125984252pt" color="#008C95" joinstyle="round"/>
                <v:imagedata o:title=""/>
                <o:lock v:ext="edit" aspectratio="f"/>
                <v:textbox inset="0mm,0mm,0mm,0mm">
                  <w:txbxContent>
                    <w:p w14:paraId="26518CD9">
                      <w:pPr>
                        <w:spacing w:before="165" w:line="302" w:lineRule="auto"/>
                        <w:ind w:left="154" w:right="4504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16365D"/>
                          <w:sz w:val="18"/>
                        </w:rPr>
                        <w:t>Primary</w:t>
                      </w:r>
                      <w:r>
                        <w:rPr>
                          <w:b/>
                          <w:color w:val="16365D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analytical</w:t>
                      </w:r>
                      <w:r>
                        <w:rPr>
                          <w:b/>
                          <w:color w:val="16365D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table:</w:t>
                      </w:r>
                      <w:r>
                        <w:rPr>
                          <w:b/>
                          <w:color w:val="16365D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analytics_yellow_taxi_business Trips: 3,329,782</w:t>
                      </w:r>
                    </w:p>
                    <w:p w14:paraId="5CFCBF9B">
                      <w:pPr>
                        <w:spacing w:before="0" w:line="302" w:lineRule="auto"/>
                        <w:ind w:left="154" w:right="5857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16365D"/>
                          <w:sz w:val="18"/>
                        </w:rPr>
                        <w:t>Coverage:</w:t>
                      </w:r>
                      <w:r>
                        <w:rPr>
                          <w:b/>
                          <w:color w:val="16365D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27</w:t>
                      </w:r>
                      <w:r>
                        <w:rPr>
                          <w:b/>
                          <w:color w:val="16365D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days;</w:t>
                      </w:r>
                      <w:r>
                        <w:rPr>
                          <w:b/>
                          <w:color w:val="16365D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February</w:t>
                      </w:r>
                      <w:r>
                        <w:rPr>
                          <w:b/>
                          <w:color w:val="16365D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23</w:t>
                      </w:r>
                      <w:r>
                        <w:rPr>
                          <w:b/>
                          <w:color w:val="16365D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excluded Total amount: $100,340,136.16</w:t>
                      </w:r>
                    </w:p>
                    <w:p w14:paraId="347EB10D">
                      <w:pPr>
                        <w:spacing w:before="0" w:line="302" w:lineRule="auto"/>
                        <w:ind w:left="154" w:right="6408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16365D"/>
                          <w:sz w:val="18"/>
                        </w:rPr>
                        <w:t>Average total amount: $30.13 Aggregate</w:t>
                      </w:r>
                      <w:r>
                        <w:rPr>
                          <w:b/>
                          <w:color w:val="16365D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amount</w:t>
                      </w:r>
                      <w:r>
                        <w:rPr>
                          <w:b/>
                          <w:color w:val="16365D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per</w:t>
                      </w:r>
                      <w:r>
                        <w:rPr>
                          <w:b/>
                          <w:color w:val="16365D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mile:</w:t>
                      </w:r>
                      <w:r>
                        <w:rPr>
                          <w:b/>
                          <w:color w:val="16365D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18"/>
                        </w:rPr>
                        <w:t>$4.78 Average duration: 17.64 minutes</w:t>
                      </w:r>
                    </w:p>
                    <w:p w14:paraId="0041CBF1">
                      <w:pPr>
                        <w:spacing w:before="0" w:line="205" w:lineRule="exact"/>
                        <w:ind w:left="154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16365D"/>
                          <w:sz w:val="18"/>
                        </w:rPr>
                        <w:t xml:space="preserve">JFK + LaGuardia pickup-zone revenue: approximately </w:t>
                      </w:r>
                      <w:r>
                        <w:rPr>
                          <w:b/>
                          <w:color w:val="16365D"/>
                          <w:spacing w:val="-2"/>
                          <w:sz w:val="18"/>
                        </w:rPr>
                        <w:t>$14.33M</w:t>
                      </w:r>
                    </w:p>
                  </w:txbxContent>
                </v:textbox>
              </v:shape>
            </w:pict>
          </mc:Fallback>
        </mc:AlternateContent>
      </w:r>
    </w:p>
    <w:p w14:paraId="624D8B7A">
      <w:pPr>
        <w:pStyle w:val="6"/>
        <w:rPr>
          <w:b/>
          <w:sz w:val="15"/>
        </w:rPr>
      </w:pPr>
    </w:p>
    <w:p w14:paraId="2AD46E05">
      <w:pPr>
        <w:pStyle w:val="6"/>
        <w:rPr>
          <w:b/>
          <w:sz w:val="15"/>
        </w:rPr>
      </w:pPr>
    </w:p>
    <w:p w14:paraId="095E0ACB">
      <w:pPr>
        <w:pStyle w:val="6"/>
        <w:rPr>
          <w:b/>
          <w:sz w:val="15"/>
        </w:rPr>
      </w:pPr>
    </w:p>
    <w:p w14:paraId="1DCAA5F1">
      <w:pPr>
        <w:pStyle w:val="6"/>
        <w:rPr>
          <w:b/>
          <w:sz w:val="15"/>
        </w:rPr>
      </w:pPr>
    </w:p>
    <w:p w14:paraId="064D4D57">
      <w:pPr>
        <w:pStyle w:val="6"/>
        <w:rPr>
          <w:b/>
          <w:sz w:val="15"/>
        </w:rPr>
      </w:pPr>
    </w:p>
    <w:p w14:paraId="007F359B">
      <w:pPr>
        <w:pStyle w:val="6"/>
        <w:rPr>
          <w:b/>
          <w:sz w:val="15"/>
        </w:rPr>
      </w:pPr>
    </w:p>
    <w:p w14:paraId="2E375C39">
      <w:pPr>
        <w:pStyle w:val="6"/>
        <w:rPr>
          <w:b/>
          <w:sz w:val="15"/>
        </w:rPr>
      </w:pPr>
    </w:p>
    <w:p w14:paraId="02ABDE87">
      <w:pPr>
        <w:pStyle w:val="6"/>
        <w:rPr>
          <w:b/>
          <w:sz w:val="15"/>
        </w:rPr>
      </w:pPr>
    </w:p>
    <w:p w14:paraId="7A494F6F">
      <w:pPr>
        <w:pStyle w:val="6"/>
        <w:rPr>
          <w:b/>
          <w:sz w:val="15"/>
        </w:rPr>
      </w:pPr>
    </w:p>
    <w:p w14:paraId="5D62E552">
      <w:pPr>
        <w:pStyle w:val="6"/>
        <w:rPr>
          <w:b/>
          <w:sz w:val="15"/>
        </w:rPr>
      </w:pPr>
    </w:p>
    <w:p w14:paraId="5EA2B2D9">
      <w:pPr>
        <w:spacing w:before="0"/>
        <w:ind w:right="0"/>
        <w:jc w:val="left"/>
        <w:rPr>
          <w:sz w:val="15"/>
        </w:rPr>
      </w:pPr>
      <w:bookmarkStart w:id="0" w:name="_GoBack"/>
      <w:bookmarkEnd w:id="0"/>
    </w:p>
    <w:sectPr>
      <w:pgSz w:w="11910" w:h="16840"/>
      <w:pgMar w:top="1000" w:right="850" w:bottom="760" w:left="850" w:header="0" w:footer="53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0EB981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10151745</wp:posOffset>
              </wp:positionV>
              <wp:extent cx="6264275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6350">
                        <a:solidFill>
                          <a:srgbClr val="C8D4E2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51pt;margin-top:799.35pt;height:0.1pt;width:493.25pt;mso-position-horizontal-relative:page;mso-position-vertical-relative:page;z-index:-251656192;mso-width-relative:page;mso-height-relative:page;" filled="f" stroked="t" coordsize="6264275,1" o:gfxdata="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wuSwG2gAAAA4BAAAP&#10;AAAAAAAAAAEAIAAAACIAAABkcnMvZG93bnJldi54bWxQSwECFAAUAAAACACHTuJA9iC3IxYCAAB6&#10;BAAADgAAAAAAAAABACAAAAApAQAAZHJzL2Uyb0RvYy54bWxQSwUGAAAAAAYABgBZAQAAsQUAAAAA&#10;" path="m0,0l6264000,0e">
              <v:fill on="f" focussize="0,0"/>
              <v:stroke weight="0.5pt" color="#C8D4E2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635000</wp:posOffset>
              </wp:positionH>
              <wp:positionV relativeFrom="page">
                <wp:posOffset>10233025</wp:posOffset>
              </wp:positionV>
              <wp:extent cx="2120265" cy="13208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02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2C8A1F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5B6472"/>
                              <w:sz w:val="15"/>
                            </w:rPr>
                            <w:t xml:space="preserve">NYC Yellow Taxi Analytics | Power BI User </w:t>
                          </w:r>
                          <w:r>
                            <w:rPr>
                              <w:color w:val="5B6472"/>
                              <w:spacing w:val="-2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0pt;margin-top:805.75pt;height:10.4pt;width:166.95pt;mso-position-horizontal-relative:page;mso-position-vertical-relative:page;z-index:-251655168;mso-width-relative:page;mso-height-relative:page;" filled="f" stroked="f" coordsize="21600,21600" o:gfxdata="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3Mc3TaAAAADQEAAA8AAAAAAAAAAQAgAAAAIgAAAGRycy9kb3ducmV2LnhtbFBLAQIUABQAAAAI&#10;AIdO4kAJ48Ww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2C8A1F"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B6472"/>
                        <w:sz w:val="15"/>
                      </w:rPr>
                      <w:t xml:space="preserve">NYC Yellow Taxi Analytics | Power BI User </w:t>
                    </w:r>
                    <w:r>
                      <w:rPr>
                        <w:color w:val="5B6472"/>
                        <w:spacing w:val="-2"/>
                        <w:sz w:val="15"/>
                      </w:rPr>
                      <w:t>Guide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6597015</wp:posOffset>
              </wp:positionH>
              <wp:positionV relativeFrom="page">
                <wp:posOffset>10233025</wp:posOffset>
              </wp:positionV>
              <wp:extent cx="441960" cy="13208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1959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E2AC3F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5B6472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5B6472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B6472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5B6472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5B6472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5B6472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19.45pt;margin-top:805.75pt;height:10.4pt;width:34.8pt;mso-position-horizontal-relative:page;mso-position-vertical-relative:page;z-index:-251655168;mso-width-relative:page;mso-height-relative:page;" filled="f" stroked="f" coordsize="21600,21600" o:gfxdata="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B/PcI2gAAAA8BAAAPAAAAAAAAAAEAIAAAACIAAABkcnMvZG93bnJldi54bWxQSwECFAAUAAAA&#10;CACHTuJAm9FAbrMBAABz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E2AC3F"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B6472"/>
                        <w:sz w:val="15"/>
                      </w:rPr>
                      <w:t xml:space="preserve">Page </w:t>
                    </w:r>
                    <w:r>
                      <w:rPr>
                        <w:color w:val="5B6472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5B6472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5B6472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5B6472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5B6472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24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16365D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90" w:hanging="114"/>
      </w:pPr>
      <w:rPr>
        <w:rFonts w:hint="default" w:ascii="Arial" w:hAnsi="Arial" w:eastAsia="Arial" w:cs="Arial"/>
        <w:b w:val="0"/>
        <w:bCs w:val="0"/>
        <w:i w:val="0"/>
        <w:iCs w:val="0"/>
        <w:color w:val="233142"/>
        <w:spacing w:val="0"/>
        <w:w w:val="100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20" w:hanging="11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18" w:hanging="11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16" w:hanging="11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14" w:hanging="11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12" w:hanging="11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10" w:hanging="11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09" w:hanging="11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B9B42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6"/>
      <w:ind w:left="2"/>
      <w:jc w:val="center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type="paragraph" w:styleId="3">
    <w:name w:val="heading 2"/>
    <w:basedOn w:val="1"/>
    <w:qFormat/>
    <w:uiPriority w:val="1"/>
    <w:pPr>
      <w:ind w:left="623" w:hanging="333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sz w:val="18"/>
      <w:szCs w:val="1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73"/>
      <w:ind w:left="403" w:hanging="113"/>
    </w:pPr>
    <w:rPr>
      <w:rFonts w:ascii="Arial" w:hAnsi="Arial" w:eastAsia="Arial" w:cs="Arial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08"/>
      <w:ind w:left="11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721</Words>
  <Characters>4494</Characters>
  <TotalTime>1</TotalTime>
  <ScaleCrop>false</ScaleCrop>
  <LinksUpToDate>false</LinksUpToDate>
  <CharactersWithSpaces>5126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2026-10-27T13:27:00Z</dcterms:created>
  <dc:creator>abhin</dc:creator>
  <cp:lastModifiedBy>Abhinav Abhi</cp:lastModifiedBy>
  <dcterms:modified xsi:type="dcterms:W3CDTF">2026-10-27T13:28:49Z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  <property fmtid="{D5CDD505-2E9C-101B-9397-08002B2CF9AE}" pid="5" name="KSOTemplateDocerSaveRecord">
    <vt:lpwstr>eyJoZGlkIjoiMDljYzUzMWQ4OWI0YzBkYjYzMDRhZTY5ZjZkYmFmYTgiLCJ1c2VySWQiOiI1NjcxMzIxMzUwOTUifQ==</vt:lpwstr>
  </property>
  <property fmtid="{D5CDD505-2E9C-101B-9397-08002B2CF9AE}" pid="6" name="KSOProductBuildVer">
    <vt:lpwstr>1033-12.1.0.29162</vt:lpwstr>
  </property>
  <property fmtid="{D5CDD505-2E9C-101B-9397-08002B2CF9AE}" pid="7" name="ICV">
    <vt:lpwstr>B92C63C7BEEE49CAAA7B4EC5A371DCCF_12</vt:lpwstr>
  </property>
</Properties>
</file>