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2A72F">
      <w:pPr>
        <w:pStyle w:val="2"/>
        <w:spacing w:line="249" w:lineRule="auto"/>
      </w:pPr>
      <w:r>
        <w:rPr>
          <w:color w:val="132A49"/>
        </w:rPr>
        <w:t>BUSINESS</w:t>
      </w:r>
      <w:r>
        <w:rPr>
          <w:color w:val="132A49"/>
          <w:spacing w:val="-35"/>
        </w:rPr>
        <w:t xml:space="preserve"> </w:t>
      </w:r>
      <w:r>
        <w:rPr>
          <w:color w:val="132A49"/>
        </w:rPr>
        <w:t xml:space="preserve">INSIGHTS </w:t>
      </w:r>
      <w:r>
        <w:rPr>
          <w:color w:val="132A49"/>
          <w:spacing w:val="-2"/>
        </w:rPr>
        <w:t>REPORT</w:t>
      </w:r>
    </w:p>
    <w:p w14:paraId="76EB7502">
      <w:pPr>
        <w:spacing w:before="266"/>
        <w:ind w:left="335" w:right="0" w:firstLine="0"/>
        <w:jc w:val="left"/>
        <w:rPr>
          <w:sz w:val="22"/>
        </w:rPr>
      </w:pPr>
      <w:r>
        <w:rPr>
          <w:color w:val="5E6B79"/>
          <w:sz w:val="22"/>
        </w:rPr>
        <w:t xml:space="preserve">NYC Yellow Taxi Analytics | February </w:t>
      </w:r>
      <w:r>
        <w:rPr>
          <w:color w:val="5E6B79"/>
          <w:spacing w:val="-4"/>
          <w:sz w:val="22"/>
        </w:rPr>
        <w:t>2026</w:t>
      </w:r>
    </w:p>
    <w:p w14:paraId="163CEED5">
      <w:pPr>
        <w:pStyle w:val="7"/>
        <w:spacing w:before="166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727075</wp:posOffset>
                </wp:positionH>
                <wp:positionV relativeFrom="paragraph">
                  <wp:posOffset>266700</wp:posOffset>
                </wp:positionV>
                <wp:extent cx="6316980" cy="49022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6980" cy="490220"/>
                          <a:chOff x="0" y="0"/>
                          <a:chExt cx="6316980" cy="4902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810" y="3810"/>
                            <a:ext cx="630936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482600">
                                <a:moveTo>
                                  <a:pt x="6309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6309360" y="482600"/>
                                </a:lnTo>
                                <a:lnTo>
                                  <a:pt x="630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F4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3810"/>
                            <a:ext cx="630936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48260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  <a:path w="6309360" h="482600">
                                <a:moveTo>
                                  <a:pt x="0" y="482600"/>
                                </a:moveTo>
                                <a:lnTo>
                                  <a:pt x="6309360" y="482600"/>
                                </a:lnTo>
                              </a:path>
                              <a:path w="6309360" h="482600">
                                <a:moveTo>
                                  <a:pt x="0" y="482600"/>
                                </a:moveTo>
                                <a:lnTo>
                                  <a:pt x="0" y="0"/>
                                </a:lnTo>
                              </a:path>
                              <a:path w="6309360" h="482600">
                                <a:moveTo>
                                  <a:pt x="6309360" y="48260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159E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8110" y="116237"/>
                            <a:ext cx="470534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8AF8D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32A49"/>
                                  <w:spacing w:val="-2"/>
                                  <w:sz w:val="18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032510" y="115996"/>
                            <a:ext cx="4933315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989194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3146"/>
                                  <w:sz w:val="17"/>
                                </w:rPr>
                                <w:t>Translate</w:t>
                              </w:r>
                              <w:r>
                                <w:rPr>
                                  <w:color w:val="233146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3146"/>
                                  <w:sz w:val="17"/>
                                </w:rPr>
                                <w:t>documented</w:t>
                              </w:r>
                              <w:r>
                                <w:rPr>
                                  <w:color w:val="233146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3146"/>
                                  <w:sz w:val="17"/>
                                </w:rPr>
                                <w:t>SQL</w:t>
                              </w:r>
                              <w:r>
                                <w:rPr>
                                  <w:color w:val="233146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3146"/>
                                  <w:sz w:val="17"/>
                                </w:rPr>
                                <w:t>analytics</w:t>
                              </w:r>
                              <w:r>
                                <w:rPr>
                                  <w:color w:val="233146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3146"/>
                                  <w:sz w:val="17"/>
                                </w:rPr>
                                <w:t>into</w:t>
                              </w:r>
                              <w:r>
                                <w:rPr>
                                  <w:color w:val="233146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3146"/>
                                  <w:sz w:val="17"/>
                                </w:rPr>
                                <w:t>business</w:t>
                              </w:r>
                              <w:r>
                                <w:rPr>
                                  <w:color w:val="233146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3146"/>
                                  <w:sz w:val="17"/>
                                </w:rPr>
                                <w:t>implications</w:t>
                              </w:r>
                              <w:r>
                                <w:rPr>
                                  <w:color w:val="233146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314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33146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3146"/>
                                  <w:sz w:val="17"/>
                                </w:rPr>
                                <w:t>practical</w:t>
                              </w:r>
                              <w:r>
                                <w:rPr>
                                  <w:color w:val="233146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3146"/>
                                  <w:sz w:val="17"/>
                                </w:rPr>
                                <w:t>next</w:t>
                              </w:r>
                              <w:r>
                                <w:rPr>
                                  <w:color w:val="233146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3146"/>
                                  <w:sz w:val="17"/>
                                </w:rPr>
                                <w:t>steps,</w:t>
                              </w:r>
                              <w:r>
                                <w:rPr>
                                  <w:color w:val="233146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3146"/>
                                  <w:spacing w:val="-2"/>
                                  <w:sz w:val="17"/>
                                </w:rPr>
                                <w:t>separating</w:t>
                              </w:r>
                            </w:p>
                            <w:p w14:paraId="3D09987A"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3146"/>
                                  <w:sz w:val="17"/>
                                </w:rPr>
                                <w:t>evidence-backed</w:t>
                              </w:r>
                              <w:r>
                                <w:rPr>
                                  <w:color w:val="233146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3146"/>
                                  <w:sz w:val="17"/>
                                </w:rPr>
                                <w:t>findings</w:t>
                              </w:r>
                              <w:r>
                                <w:rPr>
                                  <w:color w:val="233146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3146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233146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3146"/>
                                  <w:spacing w:val="-2"/>
                                  <w:sz w:val="17"/>
                                </w:rPr>
                                <w:t>hypotheses.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7.25pt;margin-top:21pt;height:38.6pt;width:497.4pt;mso-position-horizontal-relative:page;mso-wrap-distance-bottom:0pt;mso-wrap-distance-top:0pt;z-index:-251655168;mso-width-relative:page;mso-height-relative:page;" coordsize="6316980,490220" o:gfxdata="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">
                <o:lock v:ext="edit" aspectratio="f"/>
                <v:shape id="Graphic 5" o:spid="_x0000_s1026" o:spt="100" style="position:absolute;left:3810;top:3810;height:482600;width:6309360;" fillcolor="#DDF4F2" filled="t" stroked="f" coordsize="6309360,482600" o:gfxdata="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yL2BvQAA&#10;ANoAAAAPAAAAAAAAAAEAIAAAACIAAABkcnMvZG93bnJldi54bWxQSwECFAAUAAAACACHTuJAMy8F&#10;njsAAAA5AAAAEAAAAAAAAAABACAAAAAMAQAAZHJzL3NoYXBleG1sLnhtbFBLBQYAAAAABgAGAFsB&#10;AAC2AwAAAAA=&#10;" path="m6309360,0l0,0,0,482600,6309360,482600,63093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3810;top:3810;height:482600;width:6309360;" filled="f" stroked="t" coordsize="6309360,482600" o:gfxdata="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4Uyf7sAAADa&#10;AAAADwAAAAAAAAABACAAAAAiAAAAZHJzL2Rvd25yZXYueG1sUEsBAhQAFAAAAAgAh07iQDMvBZ47&#10;AAAAOQAAABAAAAAAAAAAAQAgAAAACgEAAGRycy9zaGFwZXhtbC54bWxQSwUGAAAAAAYABgBbAQAA&#10;tAMAAAAA&#10;" path="m0,0l6309360,0em0,482600l6309360,482600em0,482600l0,0em6309360,482600l6309360,0e">
                  <v:fill on="f" focussize="0,0"/>
                  <v:stroke weight="0.6pt" color="#159E9A" joinstyle="round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118110;top:116237;height:128270;width:470534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18AF8D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2A49"/>
                            <w:spacing w:val="-2"/>
                            <w:sz w:val="18"/>
                          </w:rPr>
                          <w:t>Purpose</w:t>
                        </w:r>
                      </w:p>
                    </w:txbxContent>
                  </v:textbox>
                </v:shape>
                <v:shape id="Textbox 8" o:spid="_x0000_s1026" o:spt="202" type="#_x0000_t202" style="position:absolute;left:1032510;top:115996;height:277495;width:4933315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989194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3146"/>
                            <w:sz w:val="17"/>
                          </w:rPr>
                          <w:t>Translate</w:t>
                        </w:r>
                        <w:r>
                          <w:rPr>
                            <w:color w:val="233146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3146"/>
                            <w:sz w:val="17"/>
                          </w:rPr>
                          <w:t>documented</w:t>
                        </w:r>
                        <w:r>
                          <w:rPr>
                            <w:color w:val="233146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3146"/>
                            <w:sz w:val="17"/>
                          </w:rPr>
                          <w:t>SQL</w:t>
                        </w:r>
                        <w:r>
                          <w:rPr>
                            <w:color w:val="233146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3146"/>
                            <w:sz w:val="17"/>
                          </w:rPr>
                          <w:t>analytics</w:t>
                        </w:r>
                        <w:r>
                          <w:rPr>
                            <w:color w:val="233146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3146"/>
                            <w:sz w:val="17"/>
                          </w:rPr>
                          <w:t>into</w:t>
                        </w:r>
                        <w:r>
                          <w:rPr>
                            <w:color w:val="233146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3146"/>
                            <w:sz w:val="17"/>
                          </w:rPr>
                          <w:t>business</w:t>
                        </w:r>
                        <w:r>
                          <w:rPr>
                            <w:color w:val="233146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3146"/>
                            <w:sz w:val="17"/>
                          </w:rPr>
                          <w:t>implications</w:t>
                        </w:r>
                        <w:r>
                          <w:rPr>
                            <w:color w:val="233146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3146"/>
                            <w:sz w:val="17"/>
                          </w:rPr>
                          <w:t>and</w:t>
                        </w:r>
                        <w:r>
                          <w:rPr>
                            <w:color w:val="233146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3146"/>
                            <w:sz w:val="17"/>
                          </w:rPr>
                          <w:t>practical</w:t>
                        </w:r>
                        <w:r>
                          <w:rPr>
                            <w:color w:val="233146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3146"/>
                            <w:sz w:val="17"/>
                          </w:rPr>
                          <w:t>next</w:t>
                        </w:r>
                        <w:r>
                          <w:rPr>
                            <w:color w:val="233146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3146"/>
                            <w:sz w:val="17"/>
                          </w:rPr>
                          <w:t>steps,</w:t>
                        </w:r>
                        <w:r>
                          <w:rPr>
                            <w:color w:val="233146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3146"/>
                            <w:spacing w:val="-2"/>
                            <w:sz w:val="17"/>
                          </w:rPr>
                          <w:t>separating</w:t>
                        </w:r>
                      </w:p>
                      <w:p w14:paraId="3D09987A"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33146"/>
                            <w:sz w:val="17"/>
                          </w:rPr>
                          <w:t>evidence-backed</w:t>
                        </w:r>
                        <w:r>
                          <w:rPr>
                            <w:color w:val="233146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3146"/>
                            <w:sz w:val="17"/>
                          </w:rPr>
                          <w:t>findings</w:t>
                        </w:r>
                        <w:r>
                          <w:rPr>
                            <w:color w:val="233146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3146"/>
                            <w:sz w:val="17"/>
                          </w:rPr>
                          <w:t>from</w:t>
                        </w:r>
                        <w:r>
                          <w:rPr>
                            <w:color w:val="233146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3146"/>
                            <w:spacing w:val="-2"/>
                            <w:sz w:val="17"/>
                          </w:rPr>
                          <w:t>hypotheses.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765810</wp:posOffset>
                </wp:positionH>
                <wp:positionV relativeFrom="paragraph">
                  <wp:posOffset>992505</wp:posOffset>
                </wp:positionV>
                <wp:extent cx="1499870" cy="7366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736600"/>
                        </a:xfrm>
                        <a:prstGeom prst="rect">
                          <a:avLst/>
                        </a:prstGeom>
                        <a:solidFill>
                          <a:srgbClr val="E9EFF6"/>
                        </a:solidFill>
                        <a:ln w="6350">
                          <a:solidFill>
                            <a:srgbClr val="D6DFE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FEDCEA">
                            <w:pPr>
                              <w:spacing w:before="175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132A49"/>
                                <w:spacing w:val="-2"/>
                                <w:sz w:val="32"/>
                              </w:rPr>
                              <w:t>3.33M</w:t>
                            </w:r>
                          </w:p>
                          <w:p w14:paraId="694992A6">
                            <w:pPr>
                              <w:spacing w:before="299"/>
                              <w:ind w:left="0" w:right="0" w:firstLine="0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5E6B79"/>
                                <w:sz w:val="15"/>
                              </w:rPr>
                              <w:t>Trips</w:t>
                            </w:r>
                            <w:r>
                              <w:rPr>
                                <w:color w:val="5E6B79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E6B79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color w:val="5E6B79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E6B79"/>
                                <w:sz w:val="15"/>
                              </w:rPr>
                              <w:t>business</w:t>
                            </w:r>
                            <w:r>
                              <w:rPr>
                                <w:color w:val="5E6B79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E6B79"/>
                                <w:spacing w:val="-2"/>
                                <w:sz w:val="15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60.3pt;margin-top:78.15pt;height:58pt;width:118.1pt;mso-position-horizontal-relative:page;mso-wrap-distance-bottom:0pt;mso-wrap-distance-top:0pt;z-index:-251655168;mso-width-relative:page;mso-height-relative:page;" fillcolor="#E9EFF6" filled="t" stroked="t" coordsize="21600,21600" o:gfxdata="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K9KOI1gAAAAsBAAAPAAAAAAAAAAEAIAAAACIAAABkcnMvZG93bnJldi54bWxQSwECFAAU&#10;AAAACACHTuJAkMbKKfMBAAALBAAADgAAAAAAAAABACAAAAAlAQAAZHJzL2Uyb0RvYy54bWxQSwUG&#10;AAAAAAYABgBZAQAAigUAAAAA&#10;">
                <v:fill on="t" focussize="0,0"/>
                <v:stroke weight="0.5pt" color="#D6DFE9" joinstyle="round"/>
                <v:imagedata o:title=""/>
                <o:lock v:ext="edit" aspectratio="f"/>
                <v:textbox inset="0mm,0mm,0mm,0mm">
                  <w:txbxContent>
                    <w:p w14:paraId="77FEDCEA">
                      <w:pPr>
                        <w:spacing w:before="175"/>
                        <w:ind w:left="0" w:right="0" w:firstLine="0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132A49"/>
                          <w:spacing w:val="-2"/>
                          <w:sz w:val="32"/>
                        </w:rPr>
                        <w:t>3.33M</w:t>
                      </w:r>
                    </w:p>
                    <w:p w14:paraId="694992A6">
                      <w:pPr>
                        <w:spacing w:before="299"/>
                        <w:ind w:left="0" w:right="0" w:firstLine="0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5E6B79"/>
                          <w:sz w:val="15"/>
                        </w:rPr>
                        <w:t>Trips</w:t>
                      </w:r>
                      <w:r>
                        <w:rPr>
                          <w:color w:val="5E6B79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color w:val="5E6B79"/>
                          <w:sz w:val="15"/>
                        </w:rPr>
                        <w:t>in</w:t>
                      </w:r>
                      <w:r>
                        <w:rPr>
                          <w:color w:val="5E6B79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color w:val="5E6B79"/>
                          <w:sz w:val="15"/>
                        </w:rPr>
                        <w:t>business</w:t>
                      </w:r>
                      <w:r>
                        <w:rPr>
                          <w:color w:val="5E6B79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color w:val="5E6B79"/>
                          <w:spacing w:val="-2"/>
                          <w:sz w:val="15"/>
                        </w:rPr>
                        <w:t>table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2338705</wp:posOffset>
                </wp:positionH>
                <wp:positionV relativeFrom="paragraph">
                  <wp:posOffset>992505</wp:posOffset>
                </wp:positionV>
                <wp:extent cx="1499870" cy="736600"/>
                <wp:effectExtent l="0" t="0" r="0" b="0"/>
                <wp:wrapTopAndBottom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736600"/>
                        </a:xfrm>
                        <a:prstGeom prst="rect">
                          <a:avLst/>
                        </a:prstGeom>
                        <a:solidFill>
                          <a:srgbClr val="E9EFF6"/>
                        </a:solidFill>
                        <a:ln w="6350">
                          <a:solidFill>
                            <a:srgbClr val="D6DFE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6FF2BF">
                            <w:pPr>
                              <w:spacing w:before="175"/>
                              <w:ind w:left="464" w:right="0" w:firstLine="0"/>
                              <w:jc w:val="left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132A49"/>
                                <w:spacing w:val="-2"/>
                                <w:sz w:val="32"/>
                              </w:rPr>
                              <w:t>$100.34M</w:t>
                            </w:r>
                          </w:p>
                          <w:p w14:paraId="558BC801">
                            <w:pPr>
                              <w:spacing w:before="299"/>
                              <w:ind w:left="431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5E6B79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color w:val="5E6B79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E6B79"/>
                                <w:sz w:val="15"/>
                              </w:rPr>
                              <w:t>amount</w:t>
                            </w:r>
                            <w:r>
                              <w:rPr>
                                <w:color w:val="5E6B79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E6B79"/>
                                <w:spacing w:val="-2"/>
                                <w:sz w:val="15"/>
                              </w:rPr>
                              <w:t>recorded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184.15pt;margin-top:78.15pt;height:58pt;width:118.1pt;mso-position-horizontal-relative:page;mso-wrap-distance-bottom:0pt;mso-wrap-distance-top:0pt;z-index:-251654144;mso-width-relative:page;mso-height-relative:page;" fillcolor="#E9EFF6" filled="t" stroked="t" coordsize="21600,21600" o:gfxdata="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3cxIKdcAAAALAQAADwAAAAAAAAABACAAAAAiAAAAZHJzL2Rvd25yZXYueG1sUEsBAhQA&#10;FAAAAAgAh07iQLPdWQvzAQAADQQAAA4AAAAAAAAAAQAgAAAAJgEAAGRycy9lMm9Eb2MueG1sUEsF&#10;BgAAAAAGAAYAWQEAAIsFAAAAAA==&#10;">
                <v:fill on="t" focussize="0,0"/>
                <v:stroke weight="0.5pt" color="#D6DFE9" joinstyle="round"/>
                <v:imagedata o:title=""/>
                <o:lock v:ext="edit" aspectratio="f"/>
                <v:textbox inset="0mm,0mm,0mm,0mm">
                  <w:txbxContent>
                    <w:p w14:paraId="686FF2BF">
                      <w:pPr>
                        <w:spacing w:before="175"/>
                        <w:ind w:left="464" w:right="0" w:firstLine="0"/>
                        <w:jc w:val="left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132A49"/>
                          <w:spacing w:val="-2"/>
                          <w:sz w:val="32"/>
                        </w:rPr>
                        <w:t>$100.34M</w:t>
                      </w:r>
                    </w:p>
                    <w:p w14:paraId="558BC801">
                      <w:pPr>
                        <w:spacing w:before="299"/>
                        <w:ind w:left="431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5E6B79"/>
                          <w:sz w:val="15"/>
                        </w:rPr>
                        <w:t>Total</w:t>
                      </w:r>
                      <w:r>
                        <w:rPr>
                          <w:color w:val="5E6B79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color w:val="5E6B79"/>
                          <w:sz w:val="15"/>
                        </w:rPr>
                        <w:t>amount</w:t>
                      </w:r>
                      <w:r>
                        <w:rPr>
                          <w:color w:val="5E6B79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color w:val="5E6B79"/>
                          <w:spacing w:val="-2"/>
                          <w:sz w:val="15"/>
                        </w:rPr>
                        <w:t>recorded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3911600</wp:posOffset>
                </wp:positionH>
                <wp:positionV relativeFrom="paragraph">
                  <wp:posOffset>992505</wp:posOffset>
                </wp:positionV>
                <wp:extent cx="1499870" cy="73660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736600"/>
                        </a:xfrm>
                        <a:prstGeom prst="rect">
                          <a:avLst/>
                        </a:prstGeom>
                        <a:solidFill>
                          <a:srgbClr val="E9EFF6"/>
                        </a:solidFill>
                        <a:ln w="6350">
                          <a:solidFill>
                            <a:srgbClr val="D6DFE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A2C677">
                            <w:pPr>
                              <w:spacing w:before="175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132A49"/>
                                <w:spacing w:val="-2"/>
                                <w:sz w:val="32"/>
                              </w:rPr>
                              <w:t>$30.13</w:t>
                            </w:r>
                          </w:p>
                          <w:p w14:paraId="5F448C7F">
                            <w:pPr>
                              <w:spacing w:before="299"/>
                              <w:ind w:left="0" w:right="0" w:firstLine="0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5E6B79"/>
                                <w:sz w:val="15"/>
                              </w:rPr>
                              <w:t>Average</w:t>
                            </w:r>
                            <w:r>
                              <w:rPr>
                                <w:color w:val="5E6B79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E6B79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color w:val="5E6B79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E6B79"/>
                                <w:spacing w:val="-2"/>
                                <w:sz w:val="15"/>
                              </w:rPr>
                              <w:t>amount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308pt;margin-top:78.15pt;height:58pt;width:118.1pt;mso-position-horizontal-relative:page;mso-wrap-distance-bottom:0pt;mso-wrap-distance-top:0pt;z-index:-251654144;mso-width-relative:page;mso-height-relative:page;" fillcolor="#E9EFF6" filled="t" stroked="t" coordsize="21600,21600" o:gfxdata="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2W0FntcAAAALAQAADwAAAAAAAAABACAAAAAiAAAAZHJzL2Rvd25yZXYueG1sUEsBAhQA&#10;FAAAAAgAh07iQEHEEXbzAQAADQQAAA4AAAAAAAAAAQAgAAAAJgEAAGRycy9lMm9Eb2MueG1sUEsF&#10;BgAAAAAGAAYAWQEAAIsFAAAAAA==&#10;">
                <v:fill on="t" focussize="0,0"/>
                <v:stroke weight="0.5pt" color="#D6DFE9" joinstyle="round"/>
                <v:imagedata o:title=""/>
                <o:lock v:ext="edit" aspectratio="f"/>
                <v:textbox inset="0mm,0mm,0mm,0mm">
                  <w:txbxContent>
                    <w:p w14:paraId="3BA2C677">
                      <w:pPr>
                        <w:spacing w:before="175"/>
                        <w:ind w:left="0" w:right="0" w:firstLine="0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132A49"/>
                          <w:spacing w:val="-2"/>
                          <w:sz w:val="32"/>
                        </w:rPr>
                        <w:t>$30.13</w:t>
                      </w:r>
                    </w:p>
                    <w:p w14:paraId="5F448C7F">
                      <w:pPr>
                        <w:spacing w:before="299"/>
                        <w:ind w:left="0" w:right="0" w:firstLine="0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5E6B79"/>
                          <w:sz w:val="15"/>
                        </w:rPr>
                        <w:t>Average</w:t>
                      </w:r>
                      <w:r>
                        <w:rPr>
                          <w:color w:val="5E6B79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color w:val="5E6B79"/>
                          <w:sz w:val="15"/>
                        </w:rPr>
                        <w:t>total</w:t>
                      </w:r>
                      <w:r>
                        <w:rPr>
                          <w:color w:val="5E6B79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color w:val="5E6B79"/>
                          <w:spacing w:val="-2"/>
                          <w:sz w:val="15"/>
                        </w:rPr>
                        <w:t>amount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5483860</wp:posOffset>
                </wp:positionH>
                <wp:positionV relativeFrom="paragraph">
                  <wp:posOffset>992505</wp:posOffset>
                </wp:positionV>
                <wp:extent cx="1499870" cy="736600"/>
                <wp:effectExtent l="0" t="0" r="0" b="0"/>
                <wp:wrapTopAndBottom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736600"/>
                        </a:xfrm>
                        <a:prstGeom prst="rect">
                          <a:avLst/>
                        </a:prstGeom>
                        <a:solidFill>
                          <a:srgbClr val="E9EFF6"/>
                        </a:solidFill>
                        <a:ln w="6350">
                          <a:solidFill>
                            <a:srgbClr val="D6DFE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F83279">
                            <w:pPr>
                              <w:spacing w:before="175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132A49"/>
                                <w:sz w:val="32"/>
                              </w:rPr>
                              <w:t xml:space="preserve">27 / </w:t>
                            </w:r>
                            <w:r>
                              <w:rPr>
                                <w:b/>
                                <w:color w:val="132A49"/>
                                <w:spacing w:val="-5"/>
                                <w:sz w:val="32"/>
                              </w:rPr>
                              <w:t>28</w:t>
                            </w:r>
                          </w:p>
                          <w:p w14:paraId="4CC0B6BC">
                            <w:pPr>
                              <w:spacing w:before="299"/>
                              <w:ind w:left="0" w:right="0" w:firstLine="0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5E6B79"/>
                                <w:spacing w:val="-2"/>
                                <w:sz w:val="15"/>
                              </w:rPr>
                              <w:t>February</w:t>
                            </w:r>
                            <w:r>
                              <w:rPr>
                                <w:color w:val="5E6B79"/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E6B79"/>
                                <w:spacing w:val="-2"/>
                                <w:sz w:val="15"/>
                              </w:rPr>
                              <w:t>dates</w:t>
                            </w:r>
                            <w:r>
                              <w:rPr>
                                <w:color w:val="5E6B79"/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E6B79"/>
                                <w:spacing w:val="-2"/>
                                <w:sz w:val="15"/>
                              </w:rPr>
                              <w:t>represented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431.8pt;margin-top:78.15pt;height:58pt;width:118.1pt;mso-position-horizontal-relative:page;mso-wrap-distance-bottom:0pt;mso-wrap-distance-top:0pt;z-index:-251653120;mso-width-relative:page;mso-height-relative:page;" fillcolor="#E9EFF6" filled="t" stroked="t" coordsize="21600,21600" o:gfxdata="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N2YPG9cAAAAMAQAADwAAAAAAAAABACAAAAAiAAAAZHJzL2Rvd25yZXYueG1sUEsBAhQA&#10;FAAAAAgAh07iQFfuyfHzAQAADQQAAA4AAAAAAAAAAQAgAAAAJgEAAGRycy9lMm9Eb2MueG1sUEsF&#10;BgAAAAAGAAYAWQEAAIsFAAAAAA==&#10;">
                <v:fill on="t" focussize="0,0"/>
                <v:stroke weight="0.5pt" color="#D6DFE9" joinstyle="round"/>
                <v:imagedata o:title=""/>
                <o:lock v:ext="edit" aspectratio="f"/>
                <v:textbox inset="0mm,0mm,0mm,0mm">
                  <w:txbxContent>
                    <w:p w14:paraId="5EF83279">
                      <w:pPr>
                        <w:spacing w:before="175"/>
                        <w:ind w:left="0" w:right="0" w:firstLine="0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132A49"/>
                          <w:sz w:val="32"/>
                        </w:rPr>
                        <w:t xml:space="preserve">27 / </w:t>
                      </w:r>
                      <w:r>
                        <w:rPr>
                          <w:b/>
                          <w:color w:val="132A49"/>
                          <w:spacing w:val="-5"/>
                          <w:sz w:val="32"/>
                        </w:rPr>
                        <w:t>28</w:t>
                      </w:r>
                    </w:p>
                    <w:p w14:paraId="4CC0B6BC">
                      <w:pPr>
                        <w:spacing w:before="299"/>
                        <w:ind w:left="0" w:right="0" w:firstLine="0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5E6B79"/>
                          <w:spacing w:val="-2"/>
                          <w:sz w:val="15"/>
                        </w:rPr>
                        <w:t>February</w:t>
                      </w:r>
                      <w:r>
                        <w:rPr>
                          <w:color w:val="5E6B79"/>
                          <w:spacing w:val="2"/>
                          <w:sz w:val="15"/>
                        </w:rPr>
                        <w:t xml:space="preserve"> </w:t>
                      </w:r>
                      <w:r>
                        <w:rPr>
                          <w:color w:val="5E6B79"/>
                          <w:spacing w:val="-2"/>
                          <w:sz w:val="15"/>
                        </w:rPr>
                        <w:t>dates</w:t>
                      </w:r>
                      <w:r>
                        <w:rPr>
                          <w:color w:val="5E6B79"/>
                          <w:spacing w:val="2"/>
                          <w:sz w:val="15"/>
                        </w:rPr>
                        <w:t xml:space="preserve"> </w:t>
                      </w:r>
                      <w:r>
                        <w:rPr>
                          <w:color w:val="5E6B79"/>
                          <w:spacing w:val="-2"/>
                          <w:sz w:val="15"/>
                        </w:rPr>
                        <w:t>represented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B665F1F">
      <w:pPr>
        <w:pStyle w:val="7"/>
        <w:spacing w:before="111"/>
        <w:ind w:left="0"/>
        <w:rPr>
          <w:sz w:val="20"/>
        </w:rPr>
      </w:pPr>
    </w:p>
    <w:p w14:paraId="23392D10">
      <w:pPr>
        <w:pStyle w:val="7"/>
        <w:spacing w:before="208"/>
        <w:ind w:left="0"/>
        <w:rPr>
          <w:sz w:val="32"/>
        </w:rPr>
      </w:pPr>
    </w:p>
    <w:p w14:paraId="6DE32629">
      <w:pPr>
        <w:pStyle w:val="3"/>
        <w:spacing w:before="0"/>
        <w:ind w:left="335" w:firstLine="0"/>
      </w:pPr>
      <w:r>
        <w:rPr>
          <w:color w:val="132A49"/>
        </w:rPr>
        <w:t xml:space="preserve">Executive </w:t>
      </w:r>
      <w:r>
        <w:rPr>
          <w:color w:val="132A49"/>
          <w:spacing w:val="-2"/>
        </w:rPr>
        <w:t>interpretation</w:t>
      </w:r>
    </w:p>
    <w:p w14:paraId="2B8EFA14">
      <w:pPr>
        <w:pStyle w:val="7"/>
        <w:spacing w:before="169" w:line="295" w:lineRule="auto"/>
        <w:ind w:left="335" w:right="112"/>
      </w:pPr>
      <w:r>
        <w:rPr>
          <w:color w:val="233146"/>
          <w:w w:val="105"/>
        </w:rPr>
        <w:t>The documented analysis provides an operational view of trip volume, recorded trip amounts, time patterns, pickup locations, route-direction differences, and illustrative scenarios. The most important interpretation caveat is data coverage: the business table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excludes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February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23,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2026.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The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available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evidence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confirms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that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the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date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is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absent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from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that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table,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but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does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not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 xml:space="preserve">establish </w:t>
      </w:r>
      <w:r>
        <w:rPr>
          <w:color w:val="233146"/>
          <w:spacing w:val="-4"/>
          <w:w w:val="105"/>
        </w:rPr>
        <w:t>why.</w:t>
      </w:r>
    </w:p>
    <w:p w14:paraId="68BB69CA">
      <w:pPr>
        <w:pStyle w:val="4"/>
      </w:pPr>
      <w:r>
        <w:rPr>
          <w:color w:val="159E9A"/>
        </w:rPr>
        <w:t xml:space="preserve">Evidence </w:t>
      </w:r>
      <w:r>
        <w:rPr>
          <w:color w:val="159E9A"/>
          <w:spacing w:val="-2"/>
        </w:rPr>
        <w:t>boundary</w:t>
      </w:r>
    </w:p>
    <w:p w14:paraId="6C292A14">
      <w:pPr>
        <w:pStyle w:val="7"/>
        <w:spacing w:before="138" w:line="295" w:lineRule="auto"/>
        <w:ind w:left="335"/>
      </w:pPr>
      <w:r>
        <w:rPr>
          <w:color w:val="233146"/>
          <w:w w:val="105"/>
        </w:rPr>
        <w:t>Values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in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this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report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are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drawn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from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documented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project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results.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They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have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not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all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been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independently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recalculated</w:t>
      </w:r>
      <w:r>
        <w:rPr>
          <w:color w:val="233146"/>
          <w:spacing w:val="-11"/>
          <w:w w:val="105"/>
        </w:rPr>
        <w:t xml:space="preserve"> </w:t>
      </w:r>
      <w:r>
        <w:rPr>
          <w:color w:val="233146"/>
          <w:w w:val="105"/>
        </w:rPr>
        <w:t>here. Recommendations are follow-up actions to validate—not proof of causation, guaranteed savings, or realized profit.</w:t>
      </w:r>
    </w:p>
    <w:p w14:paraId="374137A3">
      <w:pPr>
        <w:pStyle w:val="7"/>
        <w:spacing w:after="0" w:line="295" w:lineRule="auto"/>
        <w:sectPr>
          <w:footerReference r:id="rId5" w:type="default"/>
          <w:type w:val="continuous"/>
          <w:pgSz w:w="12240" w:h="15840"/>
          <w:pgMar w:top="1600" w:right="1080" w:bottom="660" w:left="720" w:header="0" w:footer="439" w:gutter="0"/>
          <w:pgNumType w:start="1"/>
          <w:cols w:space="720" w:num="1"/>
        </w:sectPr>
      </w:pPr>
    </w:p>
    <w:p w14:paraId="40446708">
      <w:pPr>
        <w:pStyle w:val="3"/>
        <w:numPr>
          <w:ilvl w:val="0"/>
          <w:numId w:val="1"/>
        </w:numPr>
        <w:tabs>
          <w:tab w:val="left" w:pos="690"/>
        </w:tabs>
        <w:spacing w:before="64" w:after="0" w:line="240" w:lineRule="auto"/>
        <w:ind w:left="690" w:right="0" w:hanging="355"/>
        <w:jc w:val="left"/>
      </w:pPr>
      <w:r>
        <w:rPr>
          <w:color w:val="132A49"/>
        </w:rPr>
        <w:t xml:space="preserve">Findings and business </w:t>
      </w:r>
      <w:r>
        <w:rPr>
          <w:color w:val="132A49"/>
          <w:spacing w:val="-2"/>
        </w:rPr>
        <w:t>implications</w:t>
      </w:r>
    </w:p>
    <w:p w14:paraId="7B2348A3">
      <w:pPr>
        <w:pStyle w:val="7"/>
        <w:spacing w:before="10"/>
        <w:ind w:left="0"/>
        <w:rPr>
          <w:b/>
          <w:sz w:val="12"/>
        </w:rPr>
      </w:pPr>
    </w:p>
    <w:tbl>
      <w:tblPr>
        <w:tblStyle w:val="6"/>
        <w:tblW w:w="0" w:type="auto"/>
        <w:tblInd w:w="342" w:type="dxa"/>
        <w:tblBorders>
          <w:top w:val="single" w:color="D6DFE9" w:sz="4" w:space="0"/>
          <w:left w:val="single" w:color="D6DFE9" w:sz="4" w:space="0"/>
          <w:bottom w:val="single" w:color="D6DFE9" w:sz="4" w:space="0"/>
          <w:right w:val="single" w:color="D6DFE9" w:sz="4" w:space="0"/>
          <w:insideH w:val="single" w:color="D6DFE9" w:sz="4" w:space="0"/>
          <w:insideV w:val="single" w:color="D6DFE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0"/>
        <w:gridCol w:w="3528"/>
        <w:gridCol w:w="3888"/>
      </w:tblGrid>
      <w:tr w14:paraId="16BE2F2F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520" w:type="dxa"/>
            <w:shd w:val="clear" w:color="auto" w:fill="132A49"/>
          </w:tcPr>
          <w:p w14:paraId="3F62C70B">
            <w:pPr>
              <w:pStyle w:val="10"/>
              <w:spacing w:before="87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Documented</w:t>
            </w:r>
            <w:r>
              <w:rPr>
                <w:b/>
                <w:color w:val="FFFFFF"/>
                <w:spacing w:val="17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finding</w:t>
            </w:r>
          </w:p>
        </w:tc>
        <w:tc>
          <w:tcPr>
            <w:tcW w:w="3528" w:type="dxa"/>
            <w:shd w:val="clear" w:color="auto" w:fill="132A49"/>
          </w:tcPr>
          <w:p w14:paraId="4B651C1B">
            <w:pPr>
              <w:pStyle w:val="10"/>
              <w:spacing w:before="87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Potential</w:t>
            </w:r>
            <w:r>
              <w:rPr>
                <w:b/>
                <w:color w:val="FFFFFF"/>
                <w:spacing w:val="12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business</w:t>
            </w:r>
            <w:r>
              <w:rPr>
                <w:b/>
                <w:color w:val="FFFFFF"/>
                <w:spacing w:val="13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implication</w:t>
            </w:r>
          </w:p>
        </w:tc>
        <w:tc>
          <w:tcPr>
            <w:tcW w:w="3888" w:type="dxa"/>
            <w:shd w:val="clear" w:color="auto" w:fill="132A49"/>
          </w:tcPr>
          <w:p w14:paraId="1EA98B3E">
            <w:pPr>
              <w:pStyle w:val="10"/>
              <w:spacing w:before="87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Recommended</w:t>
            </w:r>
            <w:r>
              <w:rPr>
                <w:b/>
                <w:color w:val="FFFFFF"/>
                <w:spacing w:val="30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follow-</w:t>
            </w:r>
            <w:r>
              <w:rPr>
                <w:b/>
                <w:color w:val="FFFFFF"/>
                <w:spacing w:val="-5"/>
                <w:sz w:val="14"/>
              </w:rPr>
              <w:t>up</w:t>
            </w:r>
          </w:p>
        </w:tc>
      </w:tr>
      <w:tr w14:paraId="74B553CB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2520" w:type="dxa"/>
          </w:tcPr>
          <w:p w14:paraId="06CE9113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3,329,782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trips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in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the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business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table</w:t>
            </w:r>
          </w:p>
        </w:tc>
        <w:tc>
          <w:tcPr>
            <w:tcW w:w="3528" w:type="dxa"/>
          </w:tcPr>
          <w:p w14:paraId="128FD11C">
            <w:pPr>
              <w:pStyle w:val="10"/>
              <w:spacing w:line="256" w:lineRule="auto"/>
              <w:rPr>
                <w:sz w:val="14"/>
              </w:rPr>
            </w:pPr>
            <w:r>
              <w:rPr>
                <w:color w:val="233146"/>
                <w:sz w:val="14"/>
              </w:rPr>
              <w:t>Substantial analysis base, subject to date-coverage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caveats.</w:t>
            </w:r>
          </w:p>
        </w:tc>
        <w:tc>
          <w:tcPr>
            <w:tcW w:w="3888" w:type="dxa"/>
          </w:tcPr>
          <w:p w14:paraId="269693FB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Show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the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analysis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population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and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date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coverage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clearly.</w:t>
            </w:r>
          </w:p>
        </w:tc>
      </w:tr>
      <w:tr w14:paraId="65A3AF09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2520" w:type="dxa"/>
            <w:shd w:val="clear" w:color="auto" w:fill="F6F9FB"/>
          </w:tcPr>
          <w:p w14:paraId="38430B94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SUM(total_amount)</w:t>
            </w:r>
            <w:r>
              <w:rPr>
                <w:color w:val="233146"/>
                <w:spacing w:val="12"/>
                <w:sz w:val="14"/>
              </w:rPr>
              <w:t xml:space="preserve"> </w:t>
            </w:r>
            <w:r>
              <w:rPr>
                <w:color w:val="233146"/>
                <w:spacing w:val="-10"/>
                <w:sz w:val="14"/>
              </w:rPr>
              <w:t>=</w:t>
            </w:r>
          </w:p>
          <w:p w14:paraId="07F6AFDA">
            <w:pPr>
              <w:pStyle w:val="10"/>
              <w:spacing w:before="11"/>
              <w:rPr>
                <w:sz w:val="14"/>
              </w:rPr>
            </w:pPr>
            <w:r>
              <w:rPr>
                <w:color w:val="233146"/>
                <w:sz w:val="14"/>
              </w:rPr>
              <w:t>$100,340,136.16;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AVG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=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$30.13</w:t>
            </w:r>
          </w:p>
        </w:tc>
        <w:tc>
          <w:tcPr>
            <w:tcW w:w="3528" w:type="dxa"/>
            <w:shd w:val="clear" w:color="auto" w:fill="F6F9FB"/>
          </w:tcPr>
          <w:p w14:paraId="4D4E1809">
            <w:pPr>
              <w:pStyle w:val="10"/>
              <w:spacing w:line="256" w:lineRule="auto"/>
              <w:ind w:right="93"/>
              <w:rPr>
                <w:sz w:val="14"/>
              </w:rPr>
            </w:pPr>
            <w:r>
              <w:rPr>
                <w:color w:val="233146"/>
                <w:sz w:val="14"/>
              </w:rPr>
              <w:t>A baseline for recorded trip amounts, not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automatically driver earnings, platform revenue, or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profit.</w:t>
            </w:r>
          </w:p>
        </w:tc>
        <w:tc>
          <w:tcPr>
            <w:tcW w:w="3888" w:type="dxa"/>
            <w:shd w:val="clear" w:color="auto" w:fill="F6F9FB"/>
          </w:tcPr>
          <w:p w14:paraId="3B40332F">
            <w:pPr>
              <w:pStyle w:val="10"/>
              <w:spacing w:line="256" w:lineRule="auto"/>
              <w:rPr>
                <w:sz w:val="14"/>
              </w:rPr>
            </w:pPr>
            <w:r>
              <w:rPr>
                <w:color w:val="233146"/>
                <w:sz w:val="14"/>
              </w:rPr>
              <w:t>Document the meaning and components of total_amount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before financial interpretation.</w:t>
            </w:r>
          </w:p>
        </w:tc>
      </w:tr>
      <w:tr w14:paraId="2CAD2C1C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2520" w:type="dxa"/>
          </w:tcPr>
          <w:p w14:paraId="6FFD992C">
            <w:pPr>
              <w:pStyle w:val="10"/>
              <w:spacing w:before="76" w:line="254" w:lineRule="auto"/>
              <w:rPr>
                <w:sz w:val="14"/>
              </w:rPr>
            </w:pPr>
            <w:r>
              <w:rPr>
                <w:color w:val="233146"/>
                <w:sz w:val="14"/>
              </w:rPr>
              <w:t>Aggregate</w:t>
            </w:r>
            <w:r>
              <w:rPr>
                <w:color w:val="233146"/>
                <w:spacing w:val="-1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amount</w:t>
            </w:r>
            <w:r>
              <w:rPr>
                <w:color w:val="233146"/>
                <w:spacing w:val="-1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per</w:t>
            </w:r>
            <w:r>
              <w:rPr>
                <w:color w:val="233146"/>
                <w:spacing w:val="-1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mile</w:t>
            </w:r>
            <w:r>
              <w:rPr>
                <w:color w:val="233146"/>
                <w:spacing w:val="-1"/>
                <w:sz w:val="14"/>
              </w:rPr>
              <w:t xml:space="preserve"> </w:t>
            </w:r>
            <w:r>
              <w:rPr>
                <w:rFonts w:ascii="Symbol" w:hAnsi="Symbol"/>
                <w:color w:val="233146"/>
                <w:sz w:val="14"/>
              </w:rPr>
              <w:t></w:t>
            </w:r>
            <w:r>
              <w:rPr>
                <w:rFonts w:ascii="Times New Roman" w:hAnsi="Times New Roman"/>
                <w:color w:val="233146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$4.78,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using SUM(total_amount) /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SUM(trip_distance)</w:t>
            </w:r>
          </w:p>
        </w:tc>
        <w:tc>
          <w:tcPr>
            <w:tcW w:w="3528" w:type="dxa"/>
          </w:tcPr>
          <w:p w14:paraId="3509C3B4">
            <w:pPr>
              <w:pStyle w:val="10"/>
              <w:spacing w:line="256" w:lineRule="auto"/>
              <w:rPr>
                <w:sz w:val="14"/>
              </w:rPr>
            </w:pPr>
            <w:r>
              <w:rPr>
                <w:color w:val="233146"/>
                <w:sz w:val="14"/>
              </w:rPr>
              <w:t>A weighted aggregate ratio, not the average of each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trip's amount-per-mile ratio.</w:t>
            </w:r>
          </w:p>
        </w:tc>
        <w:tc>
          <w:tcPr>
            <w:tcW w:w="3888" w:type="dxa"/>
          </w:tcPr>
          <w:p w14:paraId="116DDA01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Use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the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same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formula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when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comparing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segments.</w:t>
            </w:r>
          </w:p>
        </w:tc>
      </w:tr>
      <w:tr w14:paraId="599747C4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2520" w:type="dxa"/>
            <w:shd w:val="clear" w:color="auto" w:fill="F6F9FB"/>
          </w:tcPr>
          <w:p w14:paraId="3EC0BC8E">
            <w:pPr>
              <w:pStyle w:val="10"/>
              <w:spacing w:line="256" w:lineRule="auto"/>
              <w:ind w:right="158"/>
              <w:rPr>
                <w:sz w:val="14"/>
              </w:rPr>
            </w:pPr>
            <w:r>
              <w:rPr>
                <w:color w:val="233146"/>
                <w:sz w:val="14"/>
              </w:rPr>
              <w:t>Average</w:t>
            </w:r>
            <w:r>
              <w:rPr>
                <w:color w:val="233146"/>
                <w:spacing w:val="-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trip</w:t>
            </w:r>
            <w:r>
              <w:rPr>
                <w:color w:val="233146"/>
                <w:spacing w:val="-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duration</w:t>
            </w:r>
            <w:r>
              <w:rPr>
                <w:color w:val="233146"/>
                <w:spacing w:val="-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=</w:t>
            </w:r>
            <w:r>
              <w:rPr>
                <w:color w:val="233146"/>
                <w:spacing w:val="-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17.64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minutes</w:t>
            </w:r>
          </w:p>
        </w:tc>
        <w:tc>
          <w:tcPr>
            <w:tcW w:w="3528" w:type="dxa"/>
            <w:shd w:val="clear" w:color="auto" w:fill="F6F9FB"/>
          </w:tcPr>
          <w:p w14:paraId="09CA265E">
            <w:pPr>
              <w:pStyle w:val="10"/>
              <w:spacing w:line="256" w:lineRule="auto"/>
              <w:ind w:right="346"/>
              <w:rPr>
                <w:sz w:val="14"/>
              </w:rPr>
            </w:pPr>
            <w:r>
              <w:rPr>
                <w:color w:val="233146"/>
                <w:sz w:val="14"/>
              </w:rPr>
              <w:t>A single average may hide peak-hour, route, and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trip-length</w:t>
            </w:r>
            <w:r>
              <w:rPr>
                <w:color w:val="233146"/>
                <w:spacing w:val="-2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variation.</w:t>
            </w:r>
          </w:p>
        </w:tc>
        <w:tc>
          <w:tcPr>
            <w:tcW w:w="3888" w:type="dxa"/>
            <w:shd w:val="clear" w:color="auto" w:fill="F6F9FB"/>
          </w:tcPr>
          <w:p w14:paraId="2BE250B7">
            <w:pPr>
              <w:pStyle w:val="10"/>
              <w:spacing w:line="256" w:lineRule="auto"/>
              <w:rPr>
                <w:sz w:val="14"/>
              </w:rPr>
            </w:pPr>
            <w:r>
              <w:rPr>
                <w:color w:val="233146"/>
                <w:sz w:val="14"/>
              </w:rPr>
              <w:t>Review distributions and segment-level duration before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service</w:t>
            </w:r>
            <w:r>
              <w:rPr>
                <w:color w:val="233146"/>
                <w:spacing w:val="-2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conclusions.</w:t>
            </w:r>
          </w:p>
        </w:tc>
      </w:tr>
      <w:tr w14:paraId="5C1A5FBF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2520" w:type="dxa"/>
          </w:tcPr>
          <w:p w14:paraId="5A932A0F">
            <w:pPr>
              <w:pStyle w:val="10"/>
              <w:ind w:right="158"/>
              <w:rPr>
                <w:sz w:val="14"/>
              </w:rPr>
            </w:pPr>
            <w:r>
              <w:rPr>
                <w:color w:val="233146"/>
                <w:sz w:val="14"/>
              </w:rPr>
              <w:t>JFK</w:t>
            </w:r>
            <w:r>
              <w:rPr>
                <w:color w:val="233146"/>
                <w:spacing w:val="-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+</w:t>
            </w:r>
            <w:r>
              <w:rPr>
                <w:color w:val="233146"/>
                <w:spacing w:val="-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LaGuardia</w:t>
            </w:r>
            <w:r>
              <w:rPr>
                <w:color w:val="233146"/>
                <w:spacing w:val="-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pickup-zone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 xml:space="preserve">revenue </w:t>
            </w:r>
            <w:r>
              <w:rPr>
                <w:rFonts w:ascii="Symbol" w:hAnsi="Symbol"/>
                <w:color w:val="233146"/>
                <w:sz w:val="14"/>
              </w:rPr>
              <w:t></w:t>
            </w:r>
            <w:r>
              <w:rPr>
                <w:rFonts w:ascii="Times New Roman" w:hAnsi="Times New Roman"/>
                <w:color w:val="233146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$14.33M</w:t>
            </w:r>
          </w:p>
        </w:tc>
        <w:tc>
          <w:tcPr>
            <w:tcW w:w="3528" w:type="dxa"/>
          </w:tcPr>
          <w:p w14:paraId="436D4982">
            <w:pPr>
              <w:pStyle w:val="10"/>
              <w:spacing w:line="256" w:lineRule="auto"/>
              <w:rPr>
                <w:sz w:val="14"/>
              </w:rPr>
            </w:pPr>
            <w:r>
              <w:rPr>
                <w:color w:val="233146"/>
                <w:sz w:val="14"/>
              </w:rPr>
              <w:t>Airport pickup zones are a material segment in the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documented pickup analysis.</w:t>
            </w:r>
          </w:p>
        </w:tc>
        <w:tc>
          <w:tcPr>
            <w:tcW w:w="3888" w:type="dxa"/>
          </w:tcPr>
          <w:p w14:paraId="3EA7991C">
            <w:pPr>
              <w:pStyle w:val="10"/>
              <w:spacing w:line="256" w:lineRule="auto"/>
              <w:rPr>
                <w:sz w:val="14"/>
              </w:rPr>
            </w:pPr>
            <w:r>
              <w:rPr>
                <w:color w:val="233146"/>
                <w:sz w:val="14"/>
              </w:rPr>
              <w:t>Validate zone definitions and period; do not interpret as all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airport activity or drop-off revenue.</w:t>
            </w:r>
          </w:p>
        </w:tc>
      </w:tr>
      <w:tr w14:paraId="0FCEED7F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2520" w:type="dxa"/>
            <w:shd w:val="clear" w:color="auto" w:fill="F6F9FB"/>
          </w:tcPr>
          <w:p w14:paraId="7517C91A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14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rows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meet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imbalance_pct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&gt;=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pacing w:val="-5"/>
                <w:sz w:val="14"/>
              </w:rPr>
              <w:t>50</w:t>
            </w:r>
          </w:p>
        </w:tc>
        <w:tc>
          <w:tcPr>
            <w:tcW w:w="3528" w:type="dxa"/>
            <w:shd w:val="clear" w:color="auto" w:fill="F6F9FB"/>
          </w:tcPr>
          <w:p w14:paraId="0976FEBA">
            <w:pPr>
              <w:pStyle w:val="10"/>
              <w:spacing w:line="256" w:lineRule="auto"/>
              <w:rPr>
                <w:sz w:val="14"/>
              </w:rPr>
            </w:pPr>
            <w:r>
              <w:rPr>
                <w:color w:val="233146"/>
                <w:sz w:val="14"/>
              </w:rPr>
              <w:t>Flagged routes may merit review for directional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differences.</w:t>
            </w:r>
          </w:p>
        </w:tc>
        <w:tc>
          <w:tcPr>
            <w:tcW w:w="3888" w:type="dxa"/>
            <w:shd w:val="clear" w:color="auto" w:fill="F6F9FB"/>
          </w:tcPr>
          <w:p w14:paraId="4068EA58">
            <w:pPr>
              <w:pStyle w:val="10"/>
              <w:spacing w:line="256" w:lineRule="auto"/>
              <w:rPr>
                <w:sz w:val="14"/>
              </w:rPr>
            </w:pPr>
            <w:r>
              <w:rPr>
                <w:color w:val="233146"/>
                <w:sz w:val="14"/>
              </w:rPr>
              <w:t>Check metric definition, sample sizes, trip counts, and time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patterns.</w:t>
            </w:r>
          </w:p>
        </w:tc>
      </w:tr>
      <w:tr w14:paraId="3CFF5ACD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2520" w:type="dxa"/>
          </w:tcPr>
          <w:p w14:paraId="59934008">
            <w:pPr>
              <w:pStyle w:val="10"/>
              <w:spacing w:before="76"/>
              <w:rPr>
                <w:rFonts w:ascii="Symbol" w:hAnsi="Symbol"/>
                <w:sz w:val="14"/>
              </w:rPr>
            </w:pPr>
            <w:r>
              <w:rPr>
                <w:color w:val="233146"/>
                <w:sz w:val="14"/>
              </w:rPr>
              <w:t>SUM(ABS(revenue_difference))</w:t>
            </w:r>
            <w:r>
              <w:rPr>
                <w:color w:val="233146"/>
                <w:spacing w:val="19"/>
                <w:sz w:val="14"/>
              </w:rPr>
              <w:t xml:space="preserve"> </w:t>
            </w:r>
            <w:r>
              <w:rPr>
                <w:rFonts w:ascii="Symbol" w:hAnsi="Symbol"/>
                <w:color w:val="233146"/>
                <w:spacing w:val="-10"/>
                <w:sz w:val="14"/>
              </w:rPr>
              <w:t></w:t>
            </w:r>
          </w:p>
          <w:p w14:paraId="1BE8269E">
            <w:pPr>
              <w:pStyle w:val="10"/>
              <w:spacing w:before="10"/>
              <w:rPr>
                <w:sz w:val="14"/>
              </w:rPr>
            </w:pPr>
            <w:r>
              <w:rPr>
                <w:color w:val="233146"/>
                <w:spacing w:val="-2"/>
                <w:sz w:val="14"/>
              </w:rPr>
              <w:t>$3.51M</w:t>
            </w:r>
          </w:p>
        </w:tc>
        <w:tc>
          <w:tcPr>
            <w:tcW w:w="3528" w:type="dxa"/>
          </w:tcPr>
          <w:p w14:paraId="149ED821">
            <w:pPr>
              <w:pStyle w:val="10"/>
              <w:spacing w:line="256" w:lineRule="auto"/>
              <w:ind w:right="93"/>
              <w:rPr>
                <w:sz w:val="14"/>
              </w:rPr>
            </w:pPr>
            <w:r>
              <w:rPr>
                <w:color w:val="233146"/>
                <w:sz w:val="14"/>
              </w:rPr>
              <w:t>Gross absolute magnitude of route-level differences;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not recoverable revenue or profit.</w:t>
            </w:r>
          </w:p>
        </w:tc>
        <w:tc>
          <w:tcPr>
            <w:tcW w:w="3888" w:type="dxa"/>
          </w:tcPr>
          <w:p w14:paraId="2A5454F3">
            <w:pPr>
              <w:pStyle w:val="10"/>
              <w:spacing w:line="256" w:lineRule="auto"/>
              <w:ind w:right="72"/>
              <w:rPr>
                <w:sz w:val="14"/>
              </w:rPr>
            </w:pPr>
            <w:r>
              <w:rPr>
                <w:color w:val="233146"/>
                <w:sz w:val="14"/>
              </w:rPr>
              <w:t>Inspect signed route differences and context; do not treat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the sum as guaranteed upside.</w:t>
            </w:r>
          </w:p>
        </w:tc>
      </w:tr>
    </w:tbl>
    <w:p w14:paraId="7EA57A44">
      <w:pPr>
        <w:pStyle w:val="3"/>
        <w:numPr>
          <w:ilvl w:val="0"/>
          <w:numId w:val="1"/>
        </w:numPr>
        <w:tabs>
          <w:tab w:val="left" w:pos="690"/>
        </w:tabs>
        <w:spacing w:before="357" w:after="0" w:line="240" w:lineRule="auto"/>
        <w:ind w:left="690" w:right="0" w:hanging="355"/>
        <w:jc w:val="left"/>
      </w:pPr>
      <w:r>
        <w:rPr>
          <w:color w:val="132A49"/>
        </w:rPr>
        <w:t xml:space="preserve">Data coverage and </w:t>
      </w:r>
      <w:r>
        <w:rPr>
          <w:color w:val="132A49"/>
          <w:spacing w:val="-2"/>
        </w:rPr>
        <w:t>trust</w:t>
      </w:r>
    </w:p>
    <w:p w14:paraId="53CB9274">
      <w:pPr>
        <w:pStyle w:val="7"/>
        <w:spacing w:before="169" w:line="295" w:lineRule="auto"/>
        <w:ind w:left="335"/>
      </w:pPr>
      <w:r>
        <w:rPr>
          <w:color w:val="233146"/>
          <w:w w:val="105"/>
        </w:rPr>
        <w:t>Documented</w:t>
      </w:r>
      <w:r>
        <w:rPr>
          <w:color w:val="233146"/>
          <w:spacing w:val="-13"/>
          <w:w w:val="105"/>
        </w:rPr>
        <w:t xml:space="preserve"> </w:t>
      </w:r>
      <w:r>
        <w:rPr>
          <w:color w:val="233146"/>
          <w:w w:val="105"/>
        </w:rPr>
        <w:t>pipeline</w:t>
      </w:r>
      <w:r>
        <w:rPr>
          <w:color w:val="233146"/>
          <w:spacing w:val="-12"/>
          <w:w w:val="105"/>
        </w:rPr>
        <w:t xml:space="preserve"> </w:t>
      </w:r>
      <w:r>
        <w:rPr>
          <w:color w:val="233146"/>
          <w:w w:val="105"/>
        </w:rPr>
        <w:t>counts</w:t>
      </w:r>
      <w:r>
        <w:rPr>
          <w:color w:val="233146"/>
          <w:spacing w:val="-13"/>
          <w:w w:val="105"/>
        </w:rPr>
        <w:t xml:space="preserve"> </w:t>
      </w:r>
      <w:r>
        <w:rPr>
          <w:color w:val="233146"/>
          <w:w w:val="105"/>
        </w:rPr>
        <w:t>are:</w:t>
      </w:r>
      <w:r>
        <w:rPr>
          <w:color w:val="233146"/>
          <w:spacing w:val="-12"/>
          <w:w w:val="105"/>
        </w:rPr>
        <w:t xml:space="preserve"> </w:t>
      </w:r>
      <w:r>
        <w:rPr>
          <w:color w:val="233146"/>
          <w:w w:val="105"/>
        </w:rPr>
        <w:t>source</w:t>
      </w:r>
      <w:r>
        <w:rPr>
          <w:color w:val="233146"/>
          <w:spacing w:val="-12"/>
          <w:w w:val="105"/>
        </w:rPr>
        <w:t xml:space="preserve"> </w:t>
      </w:r>
      <w:r>
        <w:rPr>
          <w:color w:val="233146"/>
          <w:w w:val="105"/>
        </w:rPr>
        <w:t>3,399,850;</w:t>
      </w:r>
      <w:r>
        <w:rPr>
          <w:color w:val="233146"/>
          <w:spacing w:val="-13"/>
          <w:w w:val="105"/>
        </w:rPr>
        <w:t xml:space="preserve"> </w:t>
      </w:r>
      <w:r>
        <w:rPr>
          <w:color w:val="233146"/>
          <w:w w:val="105"/>
        </w:rPr>
        <w:t>cleaned</w:t>
      </w:r>
      <w:r>
        <w:rPr>
          <w:color w:val="233146"/>
          <w:spacing w:val="-12"/>
          <w:w w:val="105"/>
        </w:rPr>
        <w:t xml:space="preserve"> </w:t>
      </w:r>
      <w:r>
        <w:rPr>
          <w:color w:val="233146"/>
          <w:w w:val="105"/>
        </w:rPr>
        <w:t>3,359,607;</w:t>
      </w:r>
      <w:r>
        <w:rPr>
          <w:color w:val="233146"/>
          <w:spacing w:val="-13"/>
          <w:w w:val="105"/>
        </w:rPr>
        <w:t xml:space="preserve"> </w:t>
      </w:r>
      <w:r>
        <w:rPr>
          <w:color w:val="233146"/>
          <w:w w:val="105"/>
        </w:rPr>
        <w:t>final</w:t>
      </w:r>
      <w:r>
        <w:rPr>
          <w:color w:val="233146"/>
          <w:spacing w:val="-12"/>
          <w:w w:val="105"/>
        </w:rPr>
        <w:t xml:space="preserve"> </w:t>
      </w:r>
      <w:r>
        <w:rPr>
          <w:color w:val="233146"/>
          <w:w w:val="105"/>
        </w:rPr>
        <w:t>3,355,645;</w:t>
      </w:r>
      <w:r>
        <w:rPr>
          <w:color w:val="233146"/>
          <w:spacing w:val="-12"/>
          <w:w w:val="105"/>
        </w:rPr>
        <w:t xml:space="preserve"> </w:t>
      </w:r>
      <w:r>
        <w:rPr>
          <w:color w:val="233146"/>
          <w:w w:val="105"/>
        </w:rPr>
        <w:t>business</w:t>
      </w:r>
      <w:r>
        <w:rPr>
          <w:color w:val="233146"/>
          <w:spacing w:val="-13"/>
          <w:w w:val="105"/>
        </w:rPr>
        <w:t xml:space="preserve"> </w:t>
      </w:r>
      <w:r>
        <w:rPr>
          <w:color w:val="233146"/>
          <w:w w:val="105"/>
        </w:rPr>
        <w:t>3,329,782.</w:t>
      </w:r>
      <w:r>
        <w:rPr>
          <w:color w:val="233146"/>
          <w:spacing w:val="-12"/>
          <w:w w:val="105"/>
        </w:rPr>
        <w:t xml:space="preserve"> </w:t>
      </w:r>
      <w:r>
        <w:rPr>
          <w:color w:val="233146"/>
          <w:w w:val="105"/>
        </w:rPr>
        <w:t>The</w:t>
      </w:r>
      <w:r>
        <w:rPr>
          <w:color w:val="233146"/>
          <w:spacing w:val="-13"/>
          <w:w w:val="105"/>
        </w:rPr>
        <w:t xml:space="preserve"> </w:t>
      </w:r>
      <w:r>
        <w:rPr>
          <w:color w:val="233146"/>
          <w:w w:val="105"/>
        </w:rPr>
        <w:t>net</w:t>
      </w:r>
      <w:r>
        <w:rPr>
          <w:color w:val="233146"/>
          <w:spacing w:val="-12"/>
          <w:w w:val="105"/>
        </w:rPr>
        <w:t xml:space="preserve"> </w:t>
      </w:r>
      <w:r>
        <w:rPr>
          <w:color w:val="233146"/>
          <w:w w:val="105"/>
        </w:rPr>
        <w:t>difference from source to business is 70,068 rows (about 2.06% of the source count). This is a reconciliation result, not a statement that every removed row was erroneous.</w:t>
      </w:r>
    </w:p>
    <w:p w14:paraId="6D8C75B2">
      <w:pPr>
        <w:pStyle w:val="7"/>
        <w:spacing w:before="118" w:line="295" w:lineRule="auto"/>
        <w:ind w:left="335"/>
      </w:pPr>
      <w:r>
        <w:rPr>
          <w:color w:val="233146"/>
          <w:w w:val="105"/>
        </w:rPr>
        <w:t>Documented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raw-stage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counts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are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26,019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for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February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23,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compared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with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85,555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for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February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22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and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104,315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for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February</w:t>
      </w:r>
      <w:r>
        <w:rPr>
          <w:color w:val="233146"/>
          <w:spacing w:val="-4"/>
          <w:w w:val="105"/>
        </w:rPr>
        <w:t xml:space="preserve"> </w:t>
      </w:r>
      <w:r>
        <w:rPr>
          <w:color w:val="233146"/>
          <w:w w:val="105"/>
        </w:rPr>
        <w:t>24; the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business-table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query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returned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zero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rows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for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February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23.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These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figures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indicate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a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coverage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gap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but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do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not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prove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whether</w:t>
      </w:r>
      <w:r>
        <w:rPr>
          <w:color w:val="233146"/>
          <w:spacing w:val="-9"/>
          <w:w w:val="105"/>
        </w:rPr>
        <w:t xml:space="preserve"> </w:t>
      </w:r>
      <w:r>
        <w:rPr>
          <w:color w:val="233146"/>
          <w:w w:val="105"/>
        </w:rPr>
        <w:t>the cause was source availability, a filter, a transformation, or another process.</w:t>
      </w:r>
    </w:p>
    <w:p w14:paraId="2A65A927">
      <w:pPr>
        <w:pStyle w:val="4"/>
        <w:spacing w:before="137"/>
      </w:pPr>
      <w:r>
        <w:rPr>
          <w:color w:val="159E9A"/>
        </w:rPr>
        <w:t xml:space="preserve">Recommended </w:t>
      </w:r>
      <w:r>
        <w:rPr>
          <w:color w:val="159E9A"/>
          <w:spacing w:val="-2"/>
        </w:rPr>
        <w:t>controls</w:t>
      </w:r>
    </w:p>
    <w:p w14:paraId="4A485B6A">
      <w:pPr>
        <w:pStyle w:val="9"/>
        <w:numPr>
          <w:ilvl w:val="1"/>
          <w:numId w:val="1"/>
        </w:numPr>
        <w:tabs>
          <w:tab w:val="left" w:pos="444"/>
        </w:tabs>
        <w:spacing w:before="138" w:after="0" w:line="240" w:lineRule="auto"/>
        <w:ind w:left="444" w:right="0" w:hanging="109"/>
        <w:jc w:val="left"/>
        <w:rPr>
          <w:sz w:val="17"/>
        </w:rPr>
      </w:pPr>
      <w:r>
        <w:rPr>
          <w:color w:val="233146"/>
          <w:w w:val="105"/>
          <w:sz w:val="17"/>
        </w:rPr>
        <w:t>Compare</w:t>
      </w:r>
      <w:r>
        <w:rPr>
          <w:color w:val="233146"/>
          <w:spacing w:val="-12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expected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February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dates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with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dates</w:t>
      </w:r>
      <w:r>
        <w:rPr>
          <w:color w:val="233146"/>
          <w:spacing w:val="-12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present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at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every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pipeline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spacing w:val="-2"/>
          <w:w w:val="105"/>
          <w:sz w:val="17"/>
        </w:rPr>
        <w:t>stage.</w:t>
      </w:r>
    </w:p>
    <w:p w14:paraId="28E0FD26">
      <w:pPr>
        <w:pStyle w:val="9"/>
        <w:numPr>
          <w:ilvl w:val="1"/>
          <w:numId w:val="1"/>
        </w:numPr>
        <w:tabs>
          <w:tab w:val="left" w:pos="444"/>
        </w:tabs>
        <w:spacing w:before="164" w:after="0" w:line="240" w:lineRule="auto"/>
        <w:ind w:left="444" w:right="0" w:hanging="109"/>
        <w:jc w:val="left"/>
        <w:rPr>
          <w:sz w:val="17"/>
        </w:rPr>
      </w:pPr>
      <w:r>
        <w:rPr>
          <w:color w:val="233146"/>
          <w:w w:val="105"/>
          <w:sz w:val="17"/>
        </w:rPr>
        <w:t>Capture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row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counts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by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date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before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and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after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each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transformation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and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retain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query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spacing w:val="-2"/>
          <w:w w:val="105"/>
          <w:sz w:val="17"/>
        </w:rPr>
        <w:t>outputs.</w:t>
      </w:r>
    </w:p>
    <w:p w14:paraId="4C9DDADC">
      <w:pPr>
        <w:pStyle w:val="9"/>
        <w:numPr>
          <w:ilvl w:val="1"/>
          <w:numId w:val="1"/>
        </w:numPr>
        <w:tabs>
          <w:tab w:val="left" w:pos="444"/>
        </w:tabs>
        <w:spacing w:before="165" w:after="0" w:line="240" w:lineRule="auto"/>
        <w:ind w:left="444" w:right="0" w:hanging="109"/>
        <w:jc w:val="left"/>
        <w:rPr>
          <w:sz w:val="17"/>
        </w:rPr>
      </w:pPr>
      <w:r>
        <w:rPr>
          <w:color w:val="233146"/>
          <w:w w:val="105"/>
          <w:sz w:val="17"/>
        </w:rPr>
        <w:t>Require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review</w:t>
      </w:r>
      <w:r>
        <w:rPr>
          <w:color w:val="233146"/>
          <w:spacing w:val="-9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whenever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</w:t>
      </w:r>
      <w:r>
        <w:rPr>
          <w:color w:val="233146"/>
          <w:spacing w:val="-9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full</w:t>
      </w:r>
      <w:r>
        <w:rPr>
          <w:color w:val="233146"/>
          <w:spacing w:val="-9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date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is</w:t>
      </w:r>
      <w:r>
        <w:rPr>
          <w:color w:val="233146"/>
          <w:spacing w:val="-9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missing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from</w:t>
      </w:r>
      <w:r>
        <w:rPr>
          <w:color w:val="233146"/>
          <w:spacing w:val="-9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the</w:t>
      </w:r>
      <w:r>
        <w:rPr>
          <w:color w:val="233146"/>
          <w:spacing w:val="-9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business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spacing w:val="-2"/>
          <w:w w:val="105"/>
          <w:sz w:val="17"/>
        </w:rPr>
        <w:t>layer.</w:t>
      </w:r>
    </w:p>
    <w:p w14:paraId="0F441B1A">
      <w:pPr>
        <w:pStyle w:val="9"/>
        <w:numPr>
          <w:ilvl w:val="1"/>
          <w:numId w:val="1"/>
        </w:numPr>
        <w:tabs>
          <w:tab w:val="left" w:pos="444"/>
        </w:tabs>
        <w:spacing w:before="164" w:after="0" w:line="240" w:lineRule="auto"/>
        <w:ind w:left="444" w:right="0" w:hanging="109"/>
        <w:jc w:val="left"/>
        <w:rPr>
          <w:sz w:val="17"/>
        </w:rPr>
      </w:pPr>
      <w:r>
        <w:rPr>
          <w:color w:val="233146"/>
          <w:w w:val="105"/>
          <w:sz w:val="17"/>
        </w:rPr>
        <w:t>Record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the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exact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SQL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predicate,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affected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count,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and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rationale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for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each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cleaning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spacing w:val="-2"/>
          <w:w w:val="105"/>
          <w:sz w:val="17"/>
        </w:rPr>
        <w:t>rule.</w:t>
      </w:r>
    </w:p>
    <w:p w14:paraId="05B0F895">
      <w:pPr>
        <w:pStyle w:val="9"/>
        <w:numPr>
          <w:ilvl w:val="1"/>
          <w:numId w:val="1"/>
        </w:numPr>
        <w:tabs>
          <w:tab w:val="left" w:pos="444"/>
        </w:tabs>
        <w:spacing w:before="165" w:after="0" w:line="240" w:lineRule="auto"/>
        <w:ind w:left="444" w:right="0" w:hanging="109"/>
        <w:jc w:val="left"/>
        <w:rPr>
          <w:sz w:val="17"/>
        </w:rPr>
      </w:pPr>
      <w:r>
        <w:rPr>
          <w:color w:val="233146"/>
          <w:w w:val="105"/>
          <w:sz w:val="17"/>
        </w:rPr>
        <w:t>Make</w:t>
      </w:r>
      <w:r>
        <w:rPr>
          <w:color w:val="233146"/>
          <w:spacing w:val="-13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date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coverage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visible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in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the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dashboard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or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accompanying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spacing w:val="-2"/>
          <w:w w:val="105"/>
          <w:sz w:val="17"/>
        </w:rPr>
        <w:t>report.</w:t>
      </w:r>
    </w:p>
    <w:p w14:paraId="6FD07CDF">
      <w:pPr>
        <w:pStyle w:val="7"/>
        <w:spacing w:before="32"/>
        <w:ind w:left="0"/>
      </w:pPr>
    </w:p>
    <w:p w14:paraId="50915A49">
      <w:pPr>
        <w:pStyle w:val="3"/>
        <w:numPr>
          <w:ilvl w:val="0"/>
          <w:numId w:val="1"/>
        </w:numPr>
        <w:tabs>
          <w:tab w:val="left" w:pos="690"/>
        </w:tabs>
        <w:spacing w:before="0" w:after="0" w:line="240" w:lineRule="auto"/>
        <w:ind w:left="690" w:right="0" w:hanging="355"/>
        <w:jc w:val="left"/>
      </w:pPr>
      <w:r>
        <w:rPr>
          <w:color w:val="132A49"/>
        </w:rPr>
        <w:t xml:space="preserve">Business opportunities to </w:t>
      </w:r>
      <w:r>
        <w:rPr>
          <w:color w:val="132A49"/>
          <w:spacing w:val="-2"/>
        </w:rPr>
        <w:t>investigate</w:t>
      </w:r>
    </w:p>
    <w:p w14:paraId="1B8BFB15">
      <w:pPr>
        <w:pStyle w:val="7"/>
        <w:spacing w:before="11"/>
        <w:ind w:left="0"/>
        <w:rPr>
          <w:b/>
          <w:sz w:val="12"/>
        </w:rPr>
      </w:pPr>
    </w:p>
    <w:tbl>
      <w:tblPr>
        <w:tblStyle w:val="6"/>
        <w:tblW w:w="0" w:type="auto"/>
        <w:tblInd w:w="342" w:type="dxa"/>
        <w:tblBorders>
          <w:top w:val="single" w:color="D6DFE9" w:sz="4" w:space="0"/>
          <w:left w:val="single" w:color="D6DFE9" w:sz="4" w:space="0"/>
          <w:bottom w:val="single" w:color="D6DFE9" w:sz="4" w:space="0"/>
          <w:right w:val="single" w:color="D6DFE9" w:sz="4" w:space="0"/>
          <w:insideH w:val="single" w:color="D6DFE9" w:sz="4" w:space="0"/>
          <w:insideV w:val="single" w:color="D6DFE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744"/>
        <w:gridCol w:w="4392"/>
      </w:tblGrid>
      <w:tr w14:paraId="505D6917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00" w:type="dxa"/>
            <w:shd w:val="clear" w:color="auto" w:fill="132A49"/>
          </w:tcPr>
          <w:p w14:paraId="4E2E92D4">
            <w:pPr>
              <w:pStyle w:val="10"/>
              <w:spacing w:before="87"/>
              <w:rPr>
                <w:b/>
                <w:sz w:val="14"/>
              </w:rPr>
            </w:pPr>
            <w:r>
              <w:rPr>
                <w:b/>
                <w:color w:val="FFFFFF"/>
                <w:spacing w:val="-4"/>
                <w:sz w:val="14"/>
              </w:rPr>
              <w:t>Area</w:t>
            </w:r>
          </w:p>
        </w:tc>
        <w:tc>
          <w:tcPr>
            <w:tcW w:w="3744" w:type="dxa"/>
            <w:shd w:val="clear" w:color="auto" w:fill="132A49"/>
          </w:tcPr>
          <w:p w14:paraId="3F10CB61">
            <w:pPr>
              <w:pStyle w:val="10"/>
              <w:spacing w:before="87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Hypothesis</w:t>
            </w:r>
            <w:r>
              <w:rPr>
                <w:b/>
                <w:color w:val="FFFFFF"/>
                <w:spacing w:val="9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to</w:t>
            </w:r>
            <w:r>
              <w:rPr>
                <w:b/>
                <w:color w:val="FFFFFF"/>
                <w:spacing w:val="10"/>
                <w:sz w:val="14"/>
              </w:rPr>
              <w:t xml:space="preserve"> </w:t>
            </w:r>
            <w:r>
              <w:rPr>
                <w:b/>
                <w:color w:val="FFFFFF"/>
                <w:spacing w:val="-4"/>
                <w:sz w:val="14"/>
              </w:rPr>
              <w:t>test</w:t>
            </w:r>
          </w:p>
        </w:tc>
        <w:tc>
          <w:tcPr>
            <w:tcW w:w="4392" w:type="dxa"/>
            <w:shd w:val="clear" w:color="auto" w:fill="132A49"/>
          </w:tcPr>
          <w:p w14:paraId="3C35AEBB">
            <w:pPr>
              <w:pStyle w:val="10"/>
              <w:spacing w:before="87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Evidence</w:t>
            </w:r>
            <w:r>
              <w:rPr>
                <w:b/>
                <w:color w:val="FFFFFF"/>
                <w:spacing w:val="11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needed</w:t>
            </w:r>
            <w:r>
              <w:rPr>
                <w:b/>
                <w:color w:val="FFFFFF"/>
                <w:spacing w:val="11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before</w:t>
            </w:r>
            <w:r>
              <w:rPr>
                <w:b/>
                <w:color w:val="FFFFFF"/>
                <w:spacing w:val="11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action</w:t>
            </w:r>
          </w:p>
        </w:tc>
      </w:tr>
      <w:tr w14:paraId="353CC2D6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800" w:type="dxa"/>
          </w:tcPr>
          <w:p w14:paraId="7E9B5083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Demand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timing</w:t>
            </w:r>
          </w:p>
        </w:tc>
        <w:tc>
          <w:tcPr>
            <w:tcW w:w="3744" w:type="dxa"/>
          </w:tcPr>
          <w:p w14:paraId="59ACB9D0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Demand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and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recorded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amounts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may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vary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by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hour/day.</w:t>
            </w:r>
          </w:p>
        </w:tc>
        <w:tc>
          <w:tcPr>
            <w:tcW w:w="4392" w:type="dxa"/>
          </w:tcPr>
          <w:p w14:paraId="7F868852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Hourly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and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daily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results,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complete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coverage,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segment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sizes.</w:t>
            </w:r>
          </w:p>
        </w:tc>
      </w:tr>
      <w:tr w14:paraId="22F8DB52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800" w:type="dxa"/>
            <w:shd w:val="clear" w:color="auto" w:fill="F6F9FB"/>
          </w:tcPr>
          <w:p w14:paraId="47DB20F6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Pickup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location</w:t>
            </w:r>
          </w:p>
        </w:tc>
        <w:tc>
          <w:tcPr>
            <w:tcW w:w="3744" w:type="dxa"/>
            <w:shd w:val="clear" w:color="auto" w:fill="F6F9FB"/>
          </w:tcPr>
          <w:p w14:paraId="0E58C0D6">
            <w:pPr>
              <w:pStyle w:val="10"/>
              <w:spacing w:line="256" w:lineRule="auto"/>
              <w:rPr>
                <w:sz w:val="14"/>
              </w:rPr>
            </w:pPr>
            <w:r>
              <w:rPr>
                <w:color w:val="233146"/>
                <w:sz w:val="14"/>
              </w:rPr>
              <w:t>Some zones may contribute a larger share of trips or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recorded</w:t>
            </w:r>
            <w:r>
              <w:rPr>
                <w:color w:val="233146"/>
                <w:spacing w:val="-2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amounts.</w:t>
            </w:r>
          </w:p>
        </w:tc>
        <w:tc>
          <w:tcPr>
            <w:tcW w:w="4392" w:type="dxa"/>
            <w:shd w:val="clear" w:color="auto" w:fill="F6F9FB"/>
          </w:tcPr>
          <w:p w14:paraId="0CCF73C5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Pickup</w:t>
            </w:r>
            <w:r>
              <w:rPr>
                <w:color w:val="233146"/>
                <w:spacing w:val="6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summaries,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counts,</w:t>
            </w:r>
            <w:r>
              <w:rPr>
                <w:color w:val="233146"/>
                <w:spacing w:val="6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definitions,</w:t>
            </w:r>
            <w:r>
              <w:rPr>
                <w:color w:val="233146"/>
                <w:spacing w:val="6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comparable</w:t>
            </w:r>
            <w:r>
              <w:rPr>
                <w:color w:val="233146"/>
                <w:spacing w:val="6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periods.</w:t>
            </w:r>
          </w:p>
        </w:tc>
      </w:tr>
      <w:tr w14:paraId="500491FA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800" w:type="dxa"/>
          </w:tcPr>
          <w:p w14:paraId="37750E69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Airport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segment</w:t>
            </w:r>
          </w:p>
        </w:tc>
        <w:tc>
          <w:tcPr>
            <w:tcW w:w="3744" w:type="dxa"/>
          </w:tcPr>
          <w:p w14:paraId="36822AAA">
            <w:pPr>
              <w:pStyle w:val="10"/>
              <w:spacing w:line="256" w:lineRule="auto"/>
              <w:rPr>
                <w:sz w:val="14"/>
              </w:rPr>
            </w:pPr>
            <w:r>
              <w:rPr>
                <w:color w:val="233146"/>
                <w:sz w:val="14"/>
              </w:rPr>
              <w:t>Airport pickup zones may behave differently from other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pickup</w:t>
            </w:r>
            <w:r>
              <w:rPr>
                <w:color w:val="233146"/>
                <w:spacing w:val="-2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zones.</w:t>
            </w:r>
          </w:p>
        </w:tc>
        <w:tc>
          <w:tcPr>
            <w:tcW w:w="4392" w:type="dxa"/>
          </w:tcPr>
          <w:p w14:paraId="57A512C3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Zone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definitions,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pickup-only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scope,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hourly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patterns,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baseline.</w:t>
            </w:r>
          </w:p>
        </w:tc>
      </w:tr>
      <w:tr w14:paraId="3C805FF4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800" w:type="dxa"/>
            <w:shd w:val="clear" w:color="auto" w:fill="F6F9FB"/>
          </w:tcPr>
          <w:p w14:paraId="41BF390A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Route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balance</w:t>
            </w:r>
          </w:p>
        </w:tc>
        <w:tc>
          <w:tcPr>
            <w:tcW w:w="3744" w:type="dxa"/>
            <w:shd w:val="clear" w:color="auto" w:fill="F6F9FB"/>
          </w:tcPr>
          <w:p w14:paraId="10F86AA1">
            <w:pPr>
              <w:pStyle w:val="10"/>
              <w:spacing w:line="256" w:lineRule="auto"/>
              <w:ind w:right="108"/>
              <w:rPr>
                <w:sz w:val="14"/>
              </w:rPr>
            </w:pPr>
            <w:r>
              <w:rPr>
                <w:color w:val="233146"/>
                <w:sz w:val="14"/>
              </w:rPr>
              <w:t>Some routes may show substantial directional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differences.</w:t>
            </w:r>
          </w:p>
        </w:tc>
        <w:tc>
          <w:tcPr>
            <w:tcW w:w="4392" w:type="dxa"/>
            <w:shd w:val="clear" w:color="auto" w:fill="F6F9FB"/>
          </w:tcPr>
          <w:p w14:paraId="086A8807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Route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counts,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signed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differences,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metric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definition,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time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splits.</w:t>
            </w:r>
          </w:p>
        </w:tc>
      </w:tr>
      <w:tr w14:paraId="60897EA5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800" w:type="dxa"/>
          </w:tcPr>
          <w:p w14:paraId="61BCCB4E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Scenario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analysis</w:t>
            </w:r>
          </w:p>
        </w:tc>
        <w:tc>
          <w:tcPr>
            <w:tcW w:w="3744" w:type="dxa"/>
          </w:tcPr>
          <w:p w14:paraId="742561FF">
            <w:pPr>
              <w:pStyle w:val="10"/>
              <w:spacing w:line="256" w:lineRule="auto"/>
              <w:rPr>
                <w:sz w:val="14"/>
              </w:rPr>
            </w:pPr>
            <w:r>
              <w:rPr>
                <w:color w:val="233146"/>
                <w:sz w:val="14"/>
              </w:rPr>
              <w:t>Uplift scenarios can show sensitivity to hypothetical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changes.</w:t>
            </w:r>
          </w:p>
        </w:tc>
        <w:tc>
          <w:tcPr>
            <w:tcW w:w="4392" w:type="dxa"/>
          </w:tcPr>
          <w:p w14:paraId="55F7E3B1">
            <w:pPr>
              <w:pStyle w:val="10"/>
              <w:rPr>
                <w:color w:val="233146"/>
                <w:spacing w:val="-2"/>
                <w:sz w:val="14"/>
              </w:rPr>
            </w:pPr>
            <w:r>
              <w:rPr>
                <w:color w:val="233146"/>
                <w:sz w:val="14"/>
              </w:rPr>
              <w:t>Transparent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assumptions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and</w:t>
            </w:r>
            <w:r>
              <w:rPr>
                <w:color w:val="233146"/>
                <w:spacing w:val="6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clear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illustrative</w:t>
            </w:r>
            <w:r>
              <w:rPr>
                <w:color w:val="233146"/>
                <w:spacing w:val="6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labels.</w:t>
            </w:r>
          </w:p>
          <w:p w14:paraId="0D250A93">
            <w:pPr>
              <w:pStyle w:val="10"/>
              <w:ind w:left="0" w:leftChars="0" w:firstLine="0" w:firstLineChars="0"/>
              <w:rPr>
                <w:color w:val="233146"/>
                <w:spacing w:val="-2"/>
                <w:sz w:val="14"/>
              </w:rPr>
            </w:pPr>
          </w:p>
        </w:tc>
      </w:tr>
    </w:tbl>
    <w:p w14:paraId="500541BF">
      <w:pPr>
        <w:pStyle w:val="3"/>
        <w:numPr>
          <w:numId w:val="0"/>
        </w:numPr>
        <w:tabs>
          <w:tab w:val="left" w:pos="690"/>
        </w:tabs>
        <w:spacing w:before="356" w:after="0" w:line="240" w:lineRule="auto"/>
        <w:ind w:right="0" w:rightChars="0"/>
        <w:jc w:val="left"/>
      </w:pPr>
    </w:p>
    <w:p w14:paraId="3C6587AA">
      <w:pPr>
        <w:pStyle w:val="3"/>
        <w:numPr>
          <w:ilvl w:val="0"/>
          <w:numId w:val="1"/>
        </w:numPr>
        <w:tabs>
          <w:tab w:val="left" w:pos="690"/>
        </w:tabs>
        <w:spacing w:before="356" w:after="0" w:line="240" w:lineRule="auto"/>
        <w:ind w:left="690" w:leftChars="0" w:right="0" w:rightChars="0" w:hanging="355" w:firstLineChars="0"/>
        <w:jc w:val="left"/>
      </w:pPr>
      <w:r>
        <w:rPr>
          <w:color w:val="132A49"/>
        </w:rPr>
        <w:t xml:space="preserve">Communicating scenario </w:t>
      </w:r>
      <w:r>
        <w:rPr>
          <w:color w:val="132A49"/>
          <w:spacing w:val="-2"/>
        </w:rPr>
        <w:t>analysi</w:t>
      </w:r>
      <w:r>
        <w:rPr>
          <w:rFonts w:hint="default"/>
          <w:color w:val="132A49"/>
          <w:spacing w:val="-2"/>
          <w:lang w:val="en-IN"/>
        </w:rPr>
        <w:t>s</w:t>
      </w:r>
    </w:p>
    <w:p w14:paraId="7329C988">
      <w:pPr>
        <w:pStyle w:val="7"/>
        <w:numPr>
          <w:numId w:val="0"/>
        </w:numPr>
        <w:spacing w:before="80" w:line="295" w:lineRule="auto"/>
        <w:ind w:left="425" w:leftChars="0" w:right="0" w:rightChars="0" w:hanging="425" w:hangingChars="250"/>
      </w:pPr>
      <w:r>
        <w:br w:type="textWrapping"/>
      </w:r>
      <w:r>
        <w:rPr>
          <w:color w:val="233146"/>
          <w:w w:val="105"/>
        </w:rPr>
        <w:t>The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documented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1%,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2%,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3%,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and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5%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uplift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scenarios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should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be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presented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as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what-if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scenarios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only.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They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are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not</w:t>
      </w:r>
      <w:r>
        <w:rPr>
          <w:color w:val="233146"/>
          <w:spacing w:val="-10"/>
          <w:w w:val="105"/>
        </w:rPr>
        <w:t xml:space="preserve"> </w:t>
      </w:r>
      <w:r>
        <w:rPr>
          <w:color w:val="233146"/>
          <w:w w:val="105"/>
        </w:rPr>
        <w:t>predictions, forecasts, proof of achievable growth, or validated business cases unless assumptions and implementation mechanisms are separately supported.</w:t>
      </w:r>
    </w:p>
    <w:p w14:paraId="2363E4EC">
      <w:pPr>
        <w:pStyle w:val="9"/>
        <w:numPr>
          <w:ilvl w:val="1"/>
          <w:numId w:val="1"/>
        </w:numPr>
        <w:tabs>
          <w:tab w:val="left" w:pos="444"/>
        </w:tabs>
        <w:spacing w:before="119" w:after="0" w:line="240" w:lineRule="auto"/>
        <w:ind w:left="444" w:right="0" w:hanging="109"/>
        <w:jc w:val="left"/>
        <w:rPr>
          <w:sz w:val="17"/>
        </w:rPr>
      </w:pPr>
      <w:r>
        <w:rPr>
          <w:color w:val="233146"/>
          <w:w w:val="105"/>
          <w:sz w:val="17"/>
        </w:rPr>
        <w:t>Label</w:t>
      </w:r>
      <w:r>
        <w:rPr>
          <w:color w:val="233146"/>
          <w:spacing w:val="-13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them</w:t>
      </w:r>
      <w:r>
        <w:rPr>
          <w:color w:val="233146"/>
          <w:spacing w:val="-12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“Illustrative</w:t>
      </w:r>
      <w:r>
        <w:rPr>
          <w:color w:val="233146"/>
          <w:spacing w:val="-12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uplift</w:t>
      </w:r>
      <w:r>
        <w:rPr>
          <w:color w:val="233146"/>
          <w:spacing w:val="-12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scenario,”</w:t>
      </w:r>
      <w:r>
        <w:rPr>
          <w:color w:val="233146"/>
          <w:spacing w:val="-13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not</w:t>
      </w:r>
      <w:r>
        <w:rPr>
          <w:color w:val="233146"/>
          <w:spacing w:val="-12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“Expected</w:t>
      </w:r>
      <w:r>
        <w:rPr>
          <w:color w:val="233146"/>
          <w:spacing w:val="-12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revenue</w:t>
      </w:r>
      <w:r>
        <w:rPr>
          <w:color w:val="233146"/>
          <w:spacing w:val="-12"/>
          <w:w w:val="105"/>
          <w:sz w:val="17"/>
        </w:rPr>
        <w:t xml:space="preserve"> </w:t>
      </w:r>
      <w:r>
        <w:rPr>
          <w:color w:val="233146"/>
          <w:spacing w:val="-2"/>
          <w:w w:val="105"/>
          <w:sz w:val="17"/>
        </w:rPr>
        <w:t>increase.”</w:t>
      </w:r>
    </w:p>
    <w:p w14:paraId="43004639">
      <w:pPr>
        <w:pStyle w:val="9"/>
        <w:numPr>
          <w:ilvl w:val="1"/>
          <w:numId w:val="1"/>
        </w:numPr>
        <w:tabs>
          <w:tab w:val="left" w:pos="444"/>
        </w:tabs>
        <w:spacing w:before="164" w:after="0" w:line="240" w:lineRule="auto"/>
        <w:ind w:left="444" w:right="0" w:hanging="109"/>
        <w:jc w:val="left"/>
        <w:rPr>
          <w:sz w:val="17"/>
        </w:rPr>
      </w:pPr>
      <w:r>
        <w:rPr>
          <w:color w:val="233146"/>
          <w:sz w:val="17"/>
        </w:rPr>
        <w:t>Show</w:t>
      </w:r>
      <w:r>
        <w:rPr>
          <w:color w:val="233146"/>
          <w:spacing w:val="18"/>
          <w:sz w:val="17"/>
        </w:rPr>
        <w:t xml:space="preserve"> </w:t>
      </w:r>
      <w:r>
        <w:rPr>
          <w:color w:val="233146"/>
          <w:sz w:val="17"/>
        </w:rPr>
        <w:t>baseline,</w:t>
      </w:r>
      <w:r>
        <w:rPr>
          <w:color w:val="233146"/>
          <w:spacing w:val="18"/>
          <w:sz w:val="17"/>
        </w:rPr>
        <w:t xml:space="preserve"> </w:t>
      </w:r>
      <w:r>
        <w:rPr>
          <w:color w:val="233146"/>
          <w:sz w:val="17"/>
        </w:rPr>
        <w:t>uplift</w:t>
      </w:r>
      <w:r>
        <w:rPr>
          <w:color w:val="233146"/>
          <w:spacing w:val="18"/>
          <w:sz w:val="17"/>
        </w:rPr>
        <w:t xml:space="preserve"> </w:t>
      </w:r>
      <w:r>
        <w:rPr>
          <w:color w:val="233146"/>
          <w:sz w:val="17"/>
        </w:rPr>
        <w:t>assumption,</w:t>
      </w:r>
      <w:r>
        <w:rPr>
          <w:color w:val="233146"/>
          <w:spacing w:val="18"/>
          <w:sz w:val="17"/>
        </w:rPr>
        <w:t xml:space="preserve"> </w:t>
      </w:r>
      <w:r>
        <w:rPr>
          <w:color w:val="233146"/>
          <w:sz w:val="17"/>
        </w:rPr>
        <w:t>and</w:t>
      </w:r>
      <w:r>
        <w:rPr>
          <w:color w:val="233146"/>
          <w:spacing w:val="18"/>
          <w:sz w:val="17"/>
        </w:rPr>
        <w:t xml:space="preserve"> </w:t>
      </w:r>
      <w:r>
        <w:rPr>
          <w:color w:val="233146"/>
          <w:sz w:val="17"/>
        </w:rPr>
        <w:t>arithmetic</w:t>
      </w:r>
      <w:r>
        <w:rPr>
          <w:color w:val="233146"/>
          <w:spacing w:val="18"/>
          <w:sz w:val="17"/>
        </w:rPr>
        <w:t xml:space="preserve"> </w:t>
      </w:r>
      <w:r>
        <w:rPr>
          <w:color w:val="233146"/>
          <w:spacing w:val="-2"/>
          <w:sz w:val="17"/>
        </w:rPr>
        <w:t>separately.</w:t>
      </w:r>
    </w:p>
    <w:p w14:paraId="575A374E">
      <w:pPr>
        <w:pStyle w:val="9"/>
        <w:numPr>
          <w:ilvl w:val="1"/>
          <w:numId w:val="1"/>
        </w:numPr>
        <w:tabs>
          <w:tab w:val="left" w:pos="444"/>
        </w:tabs>
        <w:spacing w:before="165" w:after="0" w:line="240" w:lineRule="auto"/>
        <w:ind w:left="444" w:right="0" w:hanging="109"/>
        <w:jc w:val="left"/>
        <w:rPr>
          <w:sz w:val="17"/>
        </w:rPr>
      </w:pPr>
      <w:r>
        <w:rPr>
          <w:color w:val="233146"/>
          <w:w w:val="105"/>
          <w:sz w:val="17"/>
        </w:rPr>
        <w:t>Explain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the</w:t>
      </w:r>
      <w:r>
        <w:rPr>
          <w:color w:val="233146"/>
          <w:spacing w:val="-9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baseline</w:t>
      </w:r>
      <w:r>
        <w:rPr>
          <w:color w:val="233146"/>
          <w:spacing w:val="-9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and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any</w:t>
      </w:r>
      <w:r>
        <w:rPr>
          <w:color w:val="233146"/>
          <w:spacing w:val="-9"/>
          <w:w w:val="105"/>
          <w:sz w:val="17"/>
        </w:rPr>
        <w:t xml:space="preserve"> </w:t>
      </w:r>
      <w:r>
        <w:rPr>
          <w:color w:val="233146"/>
          <w:spacing w:val="-2"/>
          <w:w w:val="105"/>
          <w:sz w:val="17"/>
        </w:rPr>
        <w:t>exclusions.</w:t>
      </w:r>
    </w:p>
    <w:p w14:paraId="6D1EEDC4">
      <w:pPr>
        <w:pStyle w:val="9"/>
        <w:numPr>
          <w:ilvl w:val="1"/>
          <w:numId w:val="1"/>
        </w:numPr>
        <w:tabs>
          <w:tab w:val="left" w:pos="444"/>
        </w:tabs>
        <w:spacing w:before="164" w:after="0" w:line="240" w:lineRule="auto"/>
        <w:ind w:left="444" w:right="0" w:hanging="109"/>
        <w:jc w:val="left"/>
      </w:pPr>
      <w:r>
        <w:rPr>
          <w:color w:val="233146"/>
          <w:w w:val="105"/>
          <w:sz w:val="17"/>
        </w:rPr>
        <w:t>Do</w:t>
      </w:r>
      <w:r>
        <w:rPr>
          <w:color w:val="233146"/>
          <w:spacing w:val="-9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not</w:t>
      </w:r>
      <w:r>
        <w:rPr>
          <w:color w:val="233146"/>
          <w:spacing w:val="-8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call</w:t>
      </w:r>
      <w:r>
        <w:rPr>
          <w:color w:val="233146"/>
          <w:spacing w:val="-8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the</w:t>
      </w:r>
      <w:r>
        <w:rPr>
          <w:color w:val="233146"/>
          <w:spacing w:val="-8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output</w:t>
      </w:r>
      <w:r>
        <w:rPr>
          <w:color w:val="233146"/>
          <w:spacing w:val="-8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profit</w:t>
      </w:r>
      <w:r>
        <w:rPr>
          <w:color w:val="233146"/>
          <w:spacing w:val="-8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or</w:t>
      </w:r>
      <w:r>
        <w:rPr>
          <w:color w:val="233146"/>
          <w:spacing w:val="-8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net</w:t>
      </w:r>
      <w:r>
        <w:rPr>
          <w:color w:val="233146"/>
          <w:spacing w:val="-8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benefit</w:t>
      </w:r>
      <w:r>
        <w:rPr>
          <w:color w:val="233146"/>
          <w:spacing w:val="-8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unless</w:t>
      </w:r>
      <w:r>
        <w:rPr>
          <w:color w:val="233146"/>
          <w:spacing w:val="-8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costs</w:t>
      </w:r>
      <w:r>
        <w:rPr>
          <w:color w:val="233146"/>
          <w:spacing w:val="-9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and</w:t>
      </w:r>
      <w:r>
        <w:rPr>
          <w:color w:val="233146"/>
          <w:spacing w:val="-8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margins</w:t>
      </w:r>
      <w:r>
        <w:rPr>
          <w:color w:val="233146"/>
          <w:spacing w:val="-8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are</w:t>
      </w:r>
      <w:r>
        <w:rPr>
          <w:color w:val="233146"/>
          <w:spacing w:val="-8"/>
          <w:w w:val="105"/>
          <w:sz w:val="17"/>
        </w:rPr>
        <w:t xml:space="preserve"> </w:t>
      </w:r>
      <w:r>
        <w:rPr>
          <w:color w:val="233146"/>
          <w:spacing w:val="-2"/>
          <w:w w:val="105"/>
          <w:sz w:val="17"/>
        </w:rPr>
        <w:t>modeled.</w:t>
      </w:r>
      <w:r>
        <w:rPr>
          <w:color w:val="233146"/>
          <w:spacing w:val="-2"/>
          <w:w w:val="105"/>
          <w:sz w:val="17"/>
        </w:rPr>
        <w:br w:type="textWrapping"/>
      </w:r>
      <w:r>
        <w:rPr>
          <w:color w:val="233146"/>
          <w:spacing w:val="-2"/>
          <w:w w:val="105"/>
          <w:sz w:val="17"/>
        </w:rPr>
        <w:br w:type="textWrapping"/>
      </w:r>
    </w:p>
    <w:p w14:paraId="5CB67E73">
      <w:pPr>
        <w:pStyle w:val="3"/>
        <w:numPr>
          <w:ilvl w:val="0"/>
          <w:numId w:val="1"/>
        </w:numPr>
        <w:tabs>
          <w:tab w:val="left" w:pos="690"/>
        </w:tabs>
        <w:spacing w:before="64" w:after="0" w:line="240" w:lineRule="auto"/>
        <w:ind w:left="690" w:right="0" w:hanging="355"/>
        <w:jc w:val="left"/>
      </w:pPr>
      <w:r>
        <w:rPr>
          <w:color w:val="132A49"/>
        </w:rPr>
        <w:t xml:space="preserve">Prioritized action </w:t>
      </w:r>
      <w:r>
        <w:rPr>
          <w:color w:val="132A49"/>
          <w:spacing w:val="-4"/>
        </w:rPr>
        <w:t>plan</w:t>
      </w:r>
    </w:p>
    <w:p w14:paraId="61832329">
      <w:pPr>
        <w:pStyle w:val="7"/>
        <w:spacing w:before="10"/>
        <w:ind w:left="0"/>
        <w:rPr>
          <w:b/>
          <w:sz w:val="12"/>
        </w:rPr>
      </w:pPr>
    </w:p>
    <w:tbl>
      <w:tblPr>
        <w:tblStyle w:val="6"/>
        <w:tblW w:w="0" w:type="auto"/>
        <w:tblInd w:w="342" w:type="dxa"/>
        <w:tblBorders>
          <w:top w:val="single" w:color="D6DFE9" w:sz="4" w:space="0"/>
          <w:left w:val="single" w:color="D6DFE9" w:sz="4" w:space="0"/>
          <w:bottom w:val="single" w:color="D6DFE9" w:sz="4" w:space="0"/>
          <w:right w:val="single" w:color="D6DFE9" w:sz="4" w:space="0"/>
          <w:insideH w:val="single" w:color="D6DFE9" w:sz="4" w:space="0"/>
          <w:insideV w:val="single" w:color="D6DFE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4"/>
        <w:gridCol w:w="3744"/>
        <w:gridCol w:w="4968"/>
      </w:tblGrid>
      <w:tr w14:paraId="60024AE9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224" w:type="dxa"/>
            <w:shd w:val="clear" w:color="auto" w:fill="132A49"/>
          </w:tcPr>
          <w:p w14:paraId="246B1D5F">
            <w:pPr>
              <w:pStyle w:val="10"/>
              <w:spacing w:before="87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Priority</w:t>
            </w:r>
          </w:p>
        </w:tc>
        <w:tc>
          <w:tcPr>
            <w:tcW w:w="3744" w:type="dxa"/>
            <w:shd w:val="clear" w:color="auto" w:fill="132A49"/>
          </w:tcPr>
          <w:p w14:paraId="24629214">
            <w:pPr>
              <w:pStyle w:val="10"/>
              <w:spacing w:before="87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Action</w:t>
            </w:r>
          </w:p>
        </w:tc>
        <w:tc>
          <w:tcPr>
            <w:tcW w:w="4968" w:type="dxa"/>
            <w:shd w:val="clear" w:color="auto" w:fill="132A49"/>
          </w:tcPr>
          <w:p w14:paraId="5BC62C90">
            <w:pPr>
              <w:pStyle w:val="10"/>
              <w:spacing w:before="87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Completion</w:t>
            </w:r>
            <w:r>
              <w:rPr>
                <w:b/>
                <w:color w:val="FFFFFF"/>
                <w:spacing w:val="16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evidence</w:t>
            </w:r>
          </w:p>
        </w:tc>
      </w:tr>
      <w:tr w14:paraId="6A3B2D4B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224" w:type="dxa"/>
          </w:tcPr>
          <w:p w14:paraId="67338555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1</w:t>
            </w:r>
            <w:r>
              <w:rPr>
                <w:color w:val="233146"/>
                <w:spacing w:val="1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—</w:t>
            </w:r>
            <w:r>
              <w:rPr>
                <w:color w:val="233146"/>
                <w:spacing w:val="1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Critical</w:t>
            </w:r>
          </w:p>
        </w:tc>
        <w:tc>
          <w:tcPr>
            <w:tcW w:w="3744" w:type="dxa"/>
          </w:tcPr>
          <w:p w14:paraId="12A5CD90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Investigate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February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23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absence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at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each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pipeline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stage.</w:t>
            </w:r>
          </w:p>
        </w:tc>
        <w:tc>
          <w:tcPr>
            <w:tcW w:w="4968" w:type="dxa"/>
          </w:tcPr>
          <w:p w14:paraId="1B2054E2">
            <w:pPr>
              <w:pStyle w:val="10"/>
              <w:spacing w:line="256" w:lineRule="auto"/>
              <w:rPr>
                <w:sz w:val="14"/>
              </w:rPr>
            </w:pPr>
            <w:r>
              <w:rPr>
                <w:color w:val="233146"/>
                <w:sz w:val="14"/>
              </w:rPr>
              <w:t>Date-level counts, transformation checks, and documented cause or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unresolved</w:t>
            </w:r>
            <w:r>
              <w:rPr>
                <w:color w:val="233146"/>
                <w:spacing w:val="-2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status.</w:t>
            </w:r>
          </w:p>
        </w:tc>
      </w:tr>
      <w:tr w14:paraId="3914CA16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224" w:type="dxa"/>
            <w:shd w:val="clear" w:color="auto" w:fill="F6F9FB"/>
          </w:tcPr>
          <w:p w14:paraId="3F34E295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2</w:t>
            </w:r>
            <w:r>
              <w:rPr>
                <w:color w:val="233146"/>
                <w:spacing w:val="1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—</w:t>
            </w:r>
            <w:r>
              <w:rPr>
                <w:color w:val="233146"/>
                <w:spacing w:val="1"/>
                <w:sz w:val="14"/>
              </w:rPr>
              <w:t xml:space="preserve"> </w:t>
            </w:r>
            <w:r>
              <w:rPr>
                <w:color w:val="233146"/>
                <w:spacing w:val="-4"/>
                <w:sz w:val="14"/>
              </w:rPr>
              <w:t>High</w:t>
            </w:r>
          </w:p>
        </w:tc>
        <w:tc>
          <w:tcPr>
            <w:tcW w:w="3744" w:type="dxa"/>
            <w:shd w:val="clear" w:color="auto" w:fill="F6F9FB"/>
          </w:tcPr>
          <w:p w14:paraId="0F3B9692">
            <w:pPr>
              <w:pStyle w:val="10"/>
              <w:spacing w:line="256" w:lineRule="auto"/>
              <w:rPr>
                <w:sz w:val="14"/>
              </w:rPr>
            </w:pPr>
            <w:r>
              <w:rPr>
                <w:color w:val="233146"/>
                <w:sz w:val="14"/>
              </w:rPr>
              <w:t>Reconcile dashboard KPI cards to approved SQL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calculations.</w:t>
            </w:r>
          </w:p>
        </w:tc>
        <w:tc>
          <w:tcPr>
            <w:tcW w:w="4968" w:type="dxa"/>
            <w:shd w:val="clear" w:color="auto" w:fill="F6F9FB"/>
          </w:tcPr>
          <w:p w14:paraId="24A265E0">
            <w:pPr>
              <w:pStyle w:val="10"/>
              <w:spacing w:line="256" w:lineRule="auto"/>
              <w:rPr>
                <w:sz w:val="14"/>
              </w:rPr>
            </w:pPr>
            <w:r>
              <w:rPr>
                <w:color w:val="233146"/>
                <w:sz w:val="14"/>
              </w:rPr>
              <w:t>Saved SQL outputs and screenshots with matching definitions and date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coverage.</w:t>
            </w:r>
          </w:p>
        </w:tc>
      </w:tr>
      <w:tr w14:paraId="5C6E2B1D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224" w:type="dxa"/>
          </w:tcPr>
          <w:p w14:paraId="48D85B6C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3</w:t>
            </w:r>
            <w:r>
              <w:rPr>
                <w:color w:val="233146"/>
                <w:spacing w:val="1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—</w:t>
            </w:r>
            <w:r>
              <w:rPr>
                <w:color w:val="233146"/>
                <w:spacing w:val="1"/>
                <w:sz w:val="14"/>
              </w:rPr>
              <w:t xml:space="preserve"> </w:t>
            </w:r>
            <w:r>
              <w:rPr>
                <w:color w:val="233146"/>
                <w:spacing w:val="-4"/>
                <w:sz w:val="14"/>
              </w:rPr>
              <w:t>High</w:t>
            </w:r>
          </w:p>
        </w:tc>
        <w:tc>
          <w:tcPr>
            <w:tcW w:w="3744" w:type="dxa"/>
          </w:tcPr>
          <w:p w14:paraId="551E443B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Publish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clear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KPI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definitions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and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scope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notes.</w:t>
            </w:r>
          </w:p>
        </w:tc>
        <w:tc>
          <w:tcPr>
            <w:tcW w:w="4968" w:type="dxa"/>
          </w:tcPr>
          <w:p w14:paraId="54AA9160">
            <w:pPr>
              <w:pStyle w:val="10"/>
              <w:spacing w:line="256" w:lineRule="auto"/>
              <w:ind w:right="31"/>
              <w:rPr>
                <w:sz w:val="14"/>
              </w:rPr>
            </w:pPr>
            <w:r>
              <w:rPr>
                <w:color w:val="233146"/>
                <w:sz w:val="14"/>
              </w:rPr>
              <w:t>Definitions for total_amount, trip_distance, duration, airport pickup zones,</w:t>
            </w:r>
            <w:r>
              <w:rPr>
                <w:color w:val="233146"/>
                <w:spacing w:val="40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route</w:t>
            </w:r>
            <w:r>
              <w:rPr>
                <w:color w:val="233146"/>
                <w:spacing w:val="-2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imbalance.</w:t>
            </w:r>
          </w:p>
        </w:tc>
      </w:tr>
      <w:tr w14:paraId="38695350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224" w:type="dxa"/>
            <w:shd w:val="clear" w:color="auto" w:fill="F6F9FB"/>
          </w:tcPr>
          <w:p w14:paraId="0BB898EB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4</w:t>
            </w:r>
            <w:r>
              <w:rPr>
                <w:color w:val="233146"/>
                <w:spacing w:val="1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—</w:t>
            </w:r>
            <w:r>
              <w:rPr>
                <w:color w:val="233146"/>
                <w:spacing w:val="1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Medium</w:t>
            </w:r>
          </w:p>
        </w:tc>
        <w:tc>
          <w:tcPr>
            <w:tcW w:w="3744" w:type="dxa"/>
            <w:shd w:val="clear" w:color="auto" w:fill="F6F9FB"/>
          </w:tcPr>
          <w:p w14:paraId="78EC41E1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Review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route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flags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using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counts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and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signed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differences.</w:t>
            </w:r>
          </w:p>
        </w:tc>
        <w:tc>
          <w:tcPr>
            <w:tcW w:w="4968" w:type="dxa"/>
            <w:shd w:val="clear" w:color="auto" w:fill="F6F9FB"/>
          </w:tcPr>
          <w:p w14:paraId="369A4983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Route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review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table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with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sample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sizes,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sign,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period,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and</w:t>
            </w:r>
            <w:r>
              <w:rPr>
                <w:color w:val="233146"/>
                <w:spacing w:val="3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interpretation.</w:t>
            </w:r>
          </w:p>
        </w:tc>
      </w:tr>
      <w:tr w14:paraId="1A83E4B1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224" w:type="dxa"/>
          </w:tcPr>
          <w:p w14:paraId="721DB0F6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5</w:t>
            </w:r>
            <w:r>
              <w:rPr>
                <w:color w:val="233146"/>
                <w:spacing w:val="1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—</w:t>
            </w:r>
            <w:r>
              <w:rPr>
                <w:color w:val="233146"/>
                <w:spacing w:val="1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Medium</w:t>
            </w:r>
          </w:p>
        </w:tc>
        <w:tc>
          <w:tcPr>
            <w:tcW w:w="3744" w:type="dxa"/>
          </w:tcPr>
          <w:p w14:paraId="1FF27A39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Keep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scenario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outputs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explicitly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illustrative.</w:t>
            </w:r>
          </w:p>
        </w:tc>
        <w:tc>
          <w:tcPr>
            <w:tcW w:w="4968" w:type="dxa"/>
          </w:tcPr>
          <w:p w14:paraId="6C420816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Visible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assumptions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and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disclaimers.</w:t>
            </w:r>
          </w:p>
        </w:tc>
      </w:tr>
      <w:tr w14:paraId="7B895D3E">
        <w:tblPrEx>
          <w:tblBorders>
            <w:top w:val="single" w:color="D6DFE9" w:sz="4" w:space="0"/>
            <w:left w:val="single" w:color="D6DFE9" w:sz="4" w:space="0"/>
            <w:bottom w:val="single" w:color="D6DFE9" w:sz="4" w:space="0"/>
            <w:right w:val="single" w:color="D6DFE9" w:sz="4" w:space="0"/>
            <w:insideH w:val="single" w:color="D6DFE9" w:sz="4" w:space="0"/>
            <w:insideV w:val="single" w:color="D6DFE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224" w:type="dxa"/>
            <w:shd w:val="clear" w:color="auto" w:fill="F6F9FB"/>
          </w:tcPr>
          <w:p w14:paraId="19904D3F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6</w:t>
            </w:r>
            <w:r>
              <w:rPr>
                <w:color w:val="233146"/>
                <w:spacing w:val="1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—</w:t>
            </w:r>
            <w:r>
              <w:rPr>
                <w:color w:val="233146"/>
                <w:spacing w:val="1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Medium</w:t>
            </w:r>
          </w:p>
        </w:tc>
        <w:tc>
          <w:tcPr>
            <w:tcW w:w="3744" w:type="dxa"/>
            <w:shd w:val="clear" w:color="auto" w:fill="F6F9FB"/>
          </w:tcPr>
          <w:p w14:paraId="384A89AF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Add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repeatable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date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and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row-count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checks.</w:t>
            </w:r>
          </w:p>
        </w:tc>
        <w:tc>
          <w:tcPr>
            <w:tcW w:w="4968" w:type="dxa"/>
            <w:shd w:val="clear" w:color="auto" w:fill="F6F9FB"/>
          </w:tcPr>
          <w:p w14:paraId="453C2DE1">
            <w:pPr>
              <w:pStyle w:val="10"/>
              <w:rPr>
                <w:sz w:val="14"/>
              </w:rPr>
            </w:pPr>
            <w:r>
              <w:rPr>
                <w:color w:val="233146"/>
                <w:sz w:val="14"/>
              </w:rPr>
              <w:t>Reusable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query/checklist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and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saved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evidence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for</w:t>
            </w:r>
            <w:r>
              <w:rPr>
                <w:color w:val="233146"/>
                <w:spacing w:val="5"/>
                <w:sz w:val="14"/>
              </w:rPr>
              <w:t xml:space="preserve"> </w:t>
            </w:r>
            <w:r>
              <w:rPr>
                <w:color w:val="233146"/>
                <w:sz w:val="14"/>
              </w:rPr>
              <w:t>each</w:t>
            </w:r>
            <w:r>
              <w:rPr>
                <w:color w:val="233146"/>
                <w:spacing w:val="4"/>
                <w:sz w:val="14"/>
              </w:rPr>
              <w:t xml:space="preserve"> </w:t>
            </w:r>
            <w:r>
              <w:rPr>
                <w:color w:val="233146"/>
                <w:spacing w:val="-2"/>
                <w:sz w:val="14"/>
              </w:rPr>
              <w:t>refresh.</w:t>
            </w:r>
          </w:p>
        </w:tc>
      </w:tr>
    </w:tbl>
    <w:p w14:paraId="4ABBCE84">
      <w:pPr>
        <w:pStyle w:val="3"/>
        <w:numPr>
          <w:ilvl w:val="0"/>
          <w:numId w:val="1"/>
        </w:numPr>
        <w:tabs>
          <w:tab w:val="left" w:pos="690"/>
        </w:tabs>
        <w:spacing w:before="355" w:after="0" w:line="240" w:lineRule="auto"/>
        <w:ind w:left="690" w:right="0" w:hanging="355"/>
        <w:jc w:val="left"/>
      </w:pPr>
      <w:r>
        <w:rPr>
          <w:color w:val="132A49"/>
          <w:spacing w:val="-2"/>
        </w:rPr>
        <w:t>Limitations</w:t>
      </w:r>
    </w:p>
    <w:p w14:paraId="374A73A9">
      <w:pPr>
        <w:pStyle w:val="9"/>
        <w:numPr>
          <w:ilvl w:val="1"/>
          <w:numId w:val="1"/>
        </w:numPr>
        <w:tabs>
          <w:tab w:val="left" w:pos="444"/>
        </w:tabs>
        <w:spacing w:before="169" w:after="0" w:line="240" w:lineRule="auto"/>
        <w:ind w:left="444" w:right="0" w:hanging="109"/>
        <w:jc w:val="left"/>
        <w:rPr>
          <w:sz w:val="17"/>
        </w:rPr>
      </w:pPr>
      <w:r>
        <w:rPr>
          <w:color w:val="233146"/>
          <w:w w:val="105"/>
          <w:sz w:val="17"/>
        </w:rPr>
        <w:t>The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business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table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excludes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February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23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according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to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the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user-confirmed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query</w:t>
      </w:r>
      <w:r>
        <w:rPr>
          <w:color w:val="233146"/>
          <w:spacing w:val="-2"/>
          <w:w w:val="105"/>
          <w:sz w:val="17"/>
        </w:rPr>
        <w:t>.</w:t>
      </w:r>
    </w:p>
    <w:p w14:paraId="4FEE8307">
      <w:pPr>
        <w:pStyle w:val="9"/>
        <w:numPr>
          <w:ilvl w:val="1"/>
          <w:numId w:val="1"/>
        </w:numPr>
        <w:tabs>
          <w:tab w:val="left" w:pos="444"/>
        </w:tabs>
        <w:spacing w:before="164" w:after="0" w:line="240" w:lineRule="auto"/>
        <w:ind w:left="444" w:right="0" w:hanging="109"/>
        <w:jc w:val="left"/>
        <w:rPr>
          <w:sz w:val="17"/>
        </w:rPr>
      </w:pPr>
      <w:r>
        <w:rPr>
          <w:color w:val="233146"/>
          <w:w w:val="105"/>
          <w:sz w:val="17"/>
        </w:rPr>
        <w:t>Row-count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differences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do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not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classify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every</w:t>
      </w:r>
      <w:r>
        <w:rPr>
          <w:color w:val="233146"/>
          <w:spacing w:val="-9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removed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row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as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valid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or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spacing w:val="-2"/>
          <w:w w:val="105"/>
          <w:sz w:val="17"/>
        </w:rPr>
        <w:t>invalid.</w:t>
      </w:r>
    </w:p>
    <w:p w14:paraId="405AD7DD">
      <w:pPr>
        <w:pStyle w:val="9"/>
        <w:numPr>
          <w:ilvl w:val="1"/>
          <w:numId w:val="1"/>
        </w:numPr>
        <w:tabs>
          <w:tab w:val="left" w:pos="444"/>
        </w:tabs>
        <w:spacing w:before="165" w:after="0" w:line="295" w:lineRule="auto"/>
        <w:ind w:left="335" w:right="374" w:firstLine="0"/>
        <w:jc w:val="left"/>
        <w:rPr>
          <w:sz w:val="17"/>
        </w:rPr>
      </w:pPr>
      <w:r>
        <w:rPr>
          <w:color w:val="233146"/>
          <w:w w:val="105"/>
          <w:sz w:val="17"/>
        </w:rPr>
        <w:t>The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Vendor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7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timestamp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and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duration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rules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are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documented;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exact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SQL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predicates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were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not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independently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reviewed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in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 xml:space="preserve">this </w:t>
      </w:r>
      <w:r>
        <w:rPr>
          <w:color w:val="233146"/>
          <w:spacing w:val="-2"/>
          <w:w w:val="105"/>
          <w:sz w:val="17"/>
        </w:rPr>
        <w:t>report.</w:t>
      </w:r>
    </w:p>
    <w:p w14:paraId="0AC5A722">
      <w:pPr>
        <w:pStyle w:val="9"/>
        <w:numPr>
          <w:ilvl w:val="1"/>
          <w:numId w:val="1"/>
        </w:numPr>
        <w:tabs>
          <w:tab w:val="left" w:pos="444"/>
        </w:tabs>
        <w:spacing w:before="119" w:after="0" w:line="240" w:lineRule="auto"/>
        <w:ind w:left="444" w:right="0" w:hanging="109"/>
        <w:jc w:val="left"/>
        <w:rPr>
          <w:sz w:val="17"/>
        </w:rPr>
      </w:pPr>
      <w:r>
        <w:rPr>
          <w:color w:val="233146"/>
          <w:w w:val="105"/>
          <w:sz w:val="17"/>
        </w:rPr>
        <w:t>The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Power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BI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file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was</w:t>
      </w:r>
      <w:r>
        <w:rPr>
          <w:color w:val="233146"/>
          <w:spacing w:val="-9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not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independently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inspected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and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every</w:t>
      </w:r>
      <w:r>
        <w:rPr>
          <w:color w:val="233146"/>
          <w:spacing w:val="-9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KPI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was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not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recalculated</w:t>
      </w:r>
      <w:r>
        <w:rPr>
          <w:color w:val="233146"/>
          <w:spacing w:val="-10"/>
          <w:w w:val="105"/>
          <w:sz w:val="17"/>
        </w:rPr>
        <w:t xml:space="preserve"> </w:t>
      </w:r>
      <w:r>
        <w:rPr>
          <w:color w:val="233146"/>
          <w:spacing w:val="-2"/>
          <w:w w:val="105"/>
          <w:sz w:val="17"/>
        </w:rPr>
        <w:t>here.</w:t>
      </w:r>
    </w:p>
    <w:p w14:paraId="087F94E0">
      <w:pPr>
        <w:pStyle w:val="9"/>
        <w:numPr>
          <w:ilvl w:val="1"/>
          <w:numId w:val="1"/>
        </w:numPr>
        <w:tabs>
          <w:tab w:val="left" w:pos="444"/>
        </w:tabs>
        <w:spacing w:before="164" w:after="0" w:line="240" w:lineRule="auto"/>
        <w:ind w:left="444" w:right="0" w:hanging="109"/>
        <w:jc w:val="left"/>
        <w:rPr>
          <w:sz w:val="17"/>
        </w:rPr>
      </w:pPr>
      <w:r>
        <w:rPr>
          <w:color w:val="233146"/>
          <w:w w:val="105"/>
          <w:sz w:val="17"/>
        </w:rPr>
        <w:t>Airport</w:t>
      </w:r>
      <w:r>
        <w:rPr>
          <w:color w:val="233146"/>
          <w:spacing w:val="-12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revenue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refers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to</w:t>
      </w:r>
      <w:r>
        <w:rPr>
          <w:color w:val="233146"/>
          <w:spacing w:val="-12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the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documented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JFK</w:t>
      </w:r>
      <w:r>
        <w:rPr>
          <w:color w:val="233146"/>
          <w:spacing w:val="-12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+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LaGuardia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pickup-zone</w:t>
      </w:r>
      <w:r>
        <w:rPr>
          <w:color w:val="233146"/>
          <w:spacing w:val="-12"/>
          <w:w w:val="105"/>
          <w:sz w:val="17"/>
        </w:rPr>
        <w:t xml:space="preserve"> </w:t>
      </w:r>
      <w:r>
        <w:rPr>
          <w:color w:val="233146"/>
          <w:spacing w:val="-2"/>
          <w:w w:val="105"/>
          <w:sz w:val="17"/>
        </w:rPr>
        <w:t>scope.</w:t>
      </w:r>
    </w:p>
    <w:p w14:paraId="03955FEB">
      <w:pPr>
        <w:pStyle w:val="9"/>
        <w:numPr>
          <w:ilvl w:val="1"/>
          <w:numId w:val="1"/>
        </w:numPr>
        <w:tabs>
          <w:tab w:val="left" w:pos="444"/>
        </w:tabs>
        <w:spacing w:before="165" w:after="0" w:line="240" w:lineRule="auto"/>
        <w:ind w:left="444" w:right="0" w:hanging="109"/>
        <w:jc w:val="left"/>
        <w:rPr>
          <w:sz w:val="17"/>
        </w:rPr>
      </w:pPr>
      <w:r>
        <w:rPr>
          <w:color w:val="233146"/>
          <w:sz w:val="17"/>
        </w:rPr>
        <w:t>Absolute</w:t>
      </w:r>
      <w:r>
        <w:rPr>
          <w:color w:val="233146"/>
          <w:spacing w:val="18"/>
          <w:sz w:val="17"/>
        </w:rPr>
        <w:t xml:space="preserve"> </w:t>
      </w:r>
      <w:r>
        <w:rPr>
          <w:color w:val="233146"/>
          <w:sz w:val="17"/>
        </w:rPr>
        <w:t>route-difference</w:t>
      </w:r>
      <w:r>
        <w:rPr>
          <w:color w:val="233146"/>
          <w:spacing w:val="18"/>
          <w:sz w:val="17"/>
        </w:rPr>
        <w:t xml:space="preserve"> </w:t>
      </w:r>
      <w:r>
        <w:rPr>
          <w:color w:val="233146"/>
          <w:sz w:val="17"/>
        </w:rPr>
        <w:t>totals</w:t>
      </w:r>
      <w:r>
        <w:rPr>
          <w:color w:val="233146"/>
          <w:spacing w:val="18"/>
          <w:sz w:val="17"/>
        </w:rPr>
        <w:t xml:space="preserve"> </w:t>
      </w:r>
      <w:r>
        <w:rPr>
          <w:color w:val="233146"/>
          <w:sz w:val="17"/>
        </w:rPr>
        <w:t>are</w:t>
      </w:r>
      <w:r>
        <w:rPr>
          <w:color w:val="233146"/>
          <w:spacing w:val="18"/>
          <w:sz w:val="17"/>
        </w:rPr>
        <w:t xml:space="preserve"> </w:t>
      </w:r>
      <w:r>
        <w:rPr>
          <w:color w:val="233146"/>
          <w:sz w:val="17"/>
        </w:rPr>
        <w:t>not</w:t>
      </w:r>
      <w:r>
        <w:rPr>
          <w:color w:val="233146"/>
          <w:spacing w:val="18"/>
          <w:sz w:val="17"/>
        </w:rPr>
        <w:t xml:space="preserve"> </w:t>
      </w:r>
      <w:r>
        <w:rPr>
          <w:color w:val="233146"/>
          <w:sz w:val="17"/>
        </w:rPr>
        <w:t>recoverable</w:t>
      </w:r>
      <w:r>
        <w:rPr>
          <w:color w:val="233146"/>
          <w:spacing w:val="19"/>
          <w:sz w:val="17"/>
        </w:rPr>
        <w:t xml:space="preserve"> </w:t>
      </w:r>
      <w:r>
        <w:rPr>
          <w:color w:val="233146"/>
          <w:sz w:val="17"/>
        </w:rPr>
        <w:t>revenue,</w:t>
      </w:r>
      <w:r>
        <w:rPr>
          <w:color w:val="233146"/>
          <w:spacing w:val="18"/>
          <w:sz w:val="17"/>
        </w:rPr>
        <w:t xml:space="preserve"> </w:t>
      </w:r>
      <w:r>
        <w:rPr>
          <w:color w:val="233146"/>
          <w:sz w:val="17"/>
        </w:rPr>
        <w:t>profit,</w:t>
      </w:r>
      <w:r>
        <w:rPr>
          <w:color w:val="233146"/>
          <w:spacing w:val="18"/>
          <w:sz w:val="17"/>
        </w:rPr>
        <w:t xml:space="preserve"> </w:t>
      </w:r>
      <w:r>
        <w:rPr>
          <w:color w:val="233146"/>
          <w:sz w:val="17"/>
        </w:rPr>
        <w:t>or</w:t>
      </w:r>
      <w:r>
        <w:rPr>
          <w:color w:val="233146"/>
          <w:spacing w:val="18"/>
          <w:sz w:val="17"/>
        </w:rPr>
        <w:t xml:space="preserve"> </w:t>
      </w:r>
      <w:r>
        <w:rPr>
          <w:color w:val="233146"/>
          <w:sz w:val="17"/>
        </w:rPr>
        <w:t>guaranteed</w:t>
      </w:r>
      <w:r>
        <w:rPr>
          <w:color w:val="233146"/>
          <w:spacing w:val="18"/>
          <w:sz w:val="17"/>
        </w:rPr>
        <w:t xml:space="preserve"> </w:t>
      </w:r>
      <w:r>
        <w:rPr>
          <w:color w:val="233146"/>
          <w:spacing w:val="-2"/>
          <w:sz w:val="17"/>
        </w:rPr>
        <w:t>upside.</w:t>
      </w:r>
    </w:p>
    <w:p w14:paraId="7D974C61">
      <w:pPr>
        <w:pStyle w:val="9"/>
        <w:numPr>
          <w:ilvl w:val="1"/>
          <w:numId w:val="1"/>
        </w:numPr>
        <w:tabs>
          <w:tab w:val="left" w:pos="444"/>
        </w:tabs>
        <w:spacing w:before="164" w:after="0" w:line="240" w:lineRule="auto"/>
        <w:ind w:left="444" w:right="0" w:hanging="109"/>
        <w:jc w:val="left"/>
        <w:rPr>
          <w:sz w:val="17"/>
        </w:rPr>
      </w:pPr>
      <w:r>
        <w:rPr>
          <w:color w:val="233146"/>
          <w:w w:val="105"/>
          <w:sz w:val="17"/>
        </w:rPr>
        <w:t>Scenario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uplifts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are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illustrative,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w w:val="105"/>
          <w:sz w:val="17"/>
        </w:rPr>
        <w:t>not</w:t>
      </w:r>
      <w:r>
        <w:rPr>
          <w:color w:val="233146"/>
          <w:spacing w:val="-11"/>
          <w:w w:val="105"/>
          <w:sz w:val="17"/>
        </w:rPr>
        <w:t xml:space="preserve"> </w:t>
      </w:r>
      <w:r>
        <w:rPr>
          <w:color w:val="233146"/>
          <w:spacing w:val="-2"/>
          <w:w w:val="105"/>
          <w:sz w:val="17"/>
        </w:rPr>
        <w:t>forecasts.</w:t>
      </w:r>
    </w:p>
    <w:p w14:paraId="7692B64E">
      <w:pPr>
        <w:pStyle w:val="7"/>
        <w:spacing w:before="33"/>
        <w:ind w:left="0"/>
      </w:pPr>
    </w:p>
    <w:p w14:paraId="0B3107E9">
      <w:pPr>
        <w:spacing w:before="0"/>
        <w:ind w:right="0"/>
        <w:jc w:val="left"/>
        <w:rPr>
          <w:sz w:val="15"/>
        </w:rPr>
      </w:pPr>
      <w:bookmarkStart w:id="0" w:name="_GoBack"/>
      <w:bookmarkEnd w:id="0"/>
    </w:p>
    <w:sectPr>
      <w:pgSz w:w="12240" w:h="15840"/>
      <w:pgMar w:top="940" w:right="1080" w:bottom="660" w:left="720" w:header="0" w:footer="43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6DABD">
    <w:pPr>
      <w:pStyle w:val="7"/>
      <w:spacing w:before="0"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593725</wp:posOffset>
              </wp:positionH>
              <wp:positionV relativeFrom="page">
                <wp:posOffset>9582785</wp:posOffset>
              </wp:positionV>
              <wp:extent cx="6583680" cy="12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3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368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ln w="12700">
                        <a:solidFill>
                          <a:srgbClr val="D6DFE9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46.75pt;margin-top:754.55pt;height:0.1pt;width:518.4pt;mso-position-horizontal-relative:page;mso-position-vertical-relative:page;z-index:-251657216;mso-width-relative:page;mso-height-relative:page;" filled="f" stroked="t" coordsize="6583680,1" o:gfxdata="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Aosk89YAAAANAQAADwAAAAAAAAAB&#10;ACAAAAAiAAAAZHJzL2Rvd25yZXYueG1sUEsBAhQAFAAAAAgAh07iQACF2hcSAgAAewQAAA4AAAAA&#10;AAAAAQAgAAAAJQEAAGRycy9lMm9Eb2MueG1sUEsFBgAAAAAGAAYAWQEAAKkFAAAAAA==&#10;" path="m0,0l6583680,0e">
              <v:fill on="f" focussize="0,0"/>
              <v:stroke weight="1pt" color="#D6DFE9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581025</wp:posOffset>
              </wp:positionH>
              <wp:positionV relativeFrom="page">
                <wp:posOffset>9650730</wp:posOffset>
              </wp:positionV>
              <wp:extent cx="1796415" cy="12954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6414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29EDD2"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E6B79"/>
                              <w:w w:val="105"/>
                              <w:sz w:val="14"/>
                            </w:rPr>
                            <w:t>NYC</w:t>
                          </w:r>
                          <w:r>
                            <w:rPr>
                              <w:color w:val="5E6B79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6B79"/>
                              <w:w w:val="105"/>
                              <w:sz w:val="14"/>
                            </w:rPr>
                            <w:t>Yellow</w:t>
                          </w:r>
                          <w:r>
                            <w:rPr>
                              <w:color w:val="5E6B79"/>
                              <w:spacing w:val="-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6B79"/>
                              <w:w w:val="105"/>
                              <w:sz w:val="14"/>
                            </w:rPr>
                            <w:t>Taxi</w:t>
                          </w:r>
                          <w:r>
                            <w:rPr>
                              <w:color w:val="5E6B79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6B79"/>
                              <w:w w:val="105"/>
                              <w:sz w:val="14"/>
                            </w:rPr>
                            <w:t>Analytics</w:t>
                          </w:r>
                          <w:r>
                            <w:rPr>
                              <w:color w:val="5E6B79"/>
                              <w:spacing w:val="-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6B79"/>
                              <w:w w:val="105"/>
                              <w:sz w:val="14"/>
                            </w:rPr>
                            <w:t>|</w:t>
                          </w:r>
                          <w:r>
                            <w:rPr>
                              <w:color w:val="5E6B79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6B79"/>
                              <w:w w:val="105"/>
                              <w:sz w:val="14"/>
                            </w:rPr>
                            <w:t>February</w:t>
                          </w:r>
                          <w:r>
                            <w:rPr>
                              <w:color w:val="5E6B79"/>
                              <w:spacing w:val="-4"/>
                              <w:w w:val="105"/>
                              <w:sz w:val="14"/>
                            </w:rPr>
                            <w:t xml:space="preserve">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5.75pt;margin-top:759.9pt;height:10.2pt;width:141.45pt;mso-position-horizontal-relative:page;mso-position-vertical-relative:page;z-index:-251656192;mso-width-relative:page;mso-height-relative:page;" filled="f" stroked="f" coordsize="21600,21600" o:gfxdata="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lQu+xtkAAAAMAQAADwAAAAAAAAABACAAAAAiAAAAZHJzL2Rvd25yZXYueG1sUEsBAhQAFAAAAAgA&#10;h07iQMgNYLG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29EDD2">
                    <w:pPr>
                      <w:spacing w:before="21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5E6B79"/>
                        <w:w w:val="105"/>
                        <w:sz w:val="14"/>
                      </w:rPr>
                      <w:t>NYC</w:t>
                    </w:r>
                    <w:r>
                      <w:rPr>
                        <w:color w:val="5E6B79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6B79"/>
                        <w:w w:val="105"/>
                        <w:sz w:val="14"/>
                      </w:rPr>
                      <w:t>Yellow</w:t>
                    </w:r>
                    <w:r>
                      <w:rPr>
                        <w:color w:val="5E6B79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6B79"/>
                        <w:w w:val="105"/>
                        <w:sz w:val="14"/>
                      </w:rPr>
                      <w:t>Taxi</w:t>
                    </w:r>
                    <w:r>
                      <w:rPr>
                        <w:color w:val="5E6B79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6B79"/>
                        <w:w w:val="105"/>
                        <w:sz w:val="14"/>
                      </w:rPr>
                      <w:t>Analytics</w:t>
                    </w:r>
                    <w:r>
                      <w:rPr>
                        <w:color w:val="5E6B79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6B79"/>
                        <w:w w:val="105"/>
                        <w:sz w:val="14"/>
                      </w:rPr>
                      <w:t>|</w:t>
                    </w:r>
                    <w:r>
                      <w:rPr>
                        <w:color w:val="5E6B79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6B79"/>
                        <w:w w:val="105"/>
                        <w:sz w:val="14"/>
                      </w:rPr>
                      <w:t>February</w:t>
                    </w:r>
                    <w:r>
                      <w:rPr>
                        <w:color w:val="5E6B79"/>
                        <w:spacing w:val="-4"/>
                        <w:w w:val="105"/>
                        <w:sz w:val="14"/>
                      </w:rPr>
                      <w:t xml:space="preserve"> 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6871335</wp:posOffset>
              </wp:positionH>
              <wp:positionV relativeFrom="page">
                <wp:posOffset>9650730</wp:posOffset>
              </wp:positionV>
              <wp:extent cx="433705" cy="12954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370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4C5C6E"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E6B79"/>
                              <w:w w:val="105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5E6B79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6B79"/>
                              <w:spacing w:val="-10"/>
                              <w:w w:val="10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E6B79"/>
                              <w:spacing w:val="-10"/>
                              <w:w w:val="10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5E6B79"/>
                              <w:spacing w:val="-10"/>
                              <w:w w:val="10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E6B79"/>
                              <w:spacing w:val="-10"/>
                              <w:w w:val="105"/>
                              <w:sz w:val="14"/>
                            </w:rPr>
                            <w:t>1</w:t>
                          </w:r>
                          <w:r>
                            <w:rPr>
                              <w:color w:val="5E6B79"/>
                              <w:spacing w:val="-10"/>
                              <w:w w:val="10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41.05pt;margin-top:759.9pt;height:10.2pt;width:34.15pt;mso-position-horizontal-relative:page;mso-position-vertical-relative:page;z-index:-251656192;mso-width-relative:page;mso-height-relative:page;" filled="f" stroked="f" coordsize="21600,21600" o:gfxdata="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MAoNdsAAAAPAQAADwAAAAAAAAABACAAAAAiAAAAZHJzL2Rvd25yZXYueG1sUEsBAhQAFAAA&#10;AAgAh07iQKZIxZmzAQAAcw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4C5C6E">
                    <w:pPr>
                      <w:spacing w:before="21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5E6B79"/>
                        <w:w w:val="105"/>
                        <w:sz w:val="14"/>
                      </w:rPr>
                      <w:t>Page</w:t>
                    </w:r>
                    <w:r>
                      <w:rPr>
                        <w:color w:val="5E6B79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6B79"/>
                        <w:spacing w:val="-10"/>
                        <w:w w:val="105"/>
                        <w:sz w:val="14"/>
                      </w:rPr>
                      <w:fldChar w:fldCharType="begin"/>
                    </w:r>
                    <w:r>
                      <w:rPr>
                        <w:color w:val="5E6B79"/>
                        <w:spacing w:val="-10"/>
                        <w:w w:val="105"/>
                        <w:sz w:val="14"/>
                      </w:rPr>
                      <w:instrText xml:space="preserve"> PAGE </w:instrText>
                    </w:r>
                    <w:r>
                      <w:rPr>
                        <w:color w:val="5E6B79"/>
                        <w:spacing w:val="-10"/>
                        <w:w w:val="105"/>
                        <w:sz w:val="14"/>
                      </w:rPr>
                      <w:fldChar w:fldCharType="separate"/>
                    </w:r>
                    <w:r>
                      <w:rPr>
                        <w:color w:val="5E6B79"/>
                        <w:spacing w:val="-10"/>
                        <w:w w:val="105"/>
                        <w:sz w:val="14"/>
                      </w:rPr>
                      <w:t>1</w:t>
                    </w:r>
                    <w:r>
                      <w:rPr>
                        <w:color w:val="5E6B79"/>
                        <w:spacing w:val="-10"/>
                        <w:w w:val="105"/>
                        <w:sz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91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32A49"/>
        <w:spacing w:val="0"/>
        <w:w w:val="100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46" w:hanging="111"/>
      </w:pPr>
      <w:rPr>
        <w:rFonts w:hint="default" w:ascii="Arial" w:hAnsi="Arial" w:eastAsia="Arial" w:cs="Arial"/>
        <w:b w:val="0"/>
        <w:bCs w:val="0"/>
        <w:i w:val="0"/>
        <w:iCs w:val="0"/>
        <w:color w:val="233146"/>
        <w:spacing w:val="0"/>
        <w:w w:val="103"/>
        <w:sz w:val="17"/>
        <w:szCs w:val="17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00" w:hanging="11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17" w:hanging="11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35" w:hanging="11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52" w:hanging="11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70" w:hanging="11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87" w:hanging="11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05" w:hanging="1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B786F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3"/>
      <w:ind w:left="335" w:right="3032"/>
      <w:outlineLvl w:val="1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75"/>
      <w:ind w:left="690" w:hanging="355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36"/>
      <w:ind w:left="335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164"/>
      <w:ind w:left="444"/>
    </w:pPr>
    <w:rPr>
      <w:rFonts w:ascii="Arial" w:hAnsi="Arial" w:eastAsia="Arial" w:cs="Arial"/>
      <w:sz w:val="17"/>
      <w:szCs w:val="17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64"/>
      <w:ind w:left="444" w:hanging="109"/>
    </w:pPr>
    <w:rPr>
      <w:rFonts w:ascii="Arial" w:hAnsi="Arial" w:eastAsia="Arial" w:cs="Arial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85"/>
      <w:ind w:left="9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912</Words>
  <Characters>5690</Characters>
  <TotalTime>6</TotalTime>
  <ScaleCrop>false</ScaleCrop>
  <LinksUpToDate>false</LinksUpToDate>
  <CharactersWithSpaces>6502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2026-10-27T14:27:00Z</dcterms:created>
  <dc:creator>abhin</dc:creator>
  <cp:lastModifiedBy>Abhinav Abhi</cp:lastModifiedBy>
  <dcterms:modified xsi:type="dcterms:W3CDTF">2026-10-27T14:33:35Z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  <property fmtid="{D5CDD505-2E9C-101B-9397-08002B2CF9AE}" pid="5" name="KSOTemplateDocerSaveRecord">
    <vt:lpwstr>eyJoZGlkIjoiMDljYzUzMWQ4OWI0YzBkYjYzMDRhZTY5ZjZkYmFmYTgiLCJ1c2VySWQiOiI1NjcxMzIxMzUwOTUifQ==</vt:lpwstr>
  </property>
  <property fmtid="{D5CDD505-2E9C-101B-9397-08002B2CF9AE}" pid="6" name="KSOProductBuildVer">
    <vt:lpwstr>1033-12.1.0.29162</vt:lpwstr>
  </property>
  <property fmtid="{D5CDD505-2E9C-101B-9397-08002B2CF9AE}" pid="7" name="ICV">
    <vt:lpwstr>49C59E2FA2484073B0186338DB632C47_12</vt:lpwstr>
  </property>
</Properties>
</file>