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AA7BA">
      <w:pPr>
        <w:pStyle w:val="36"/>
      </w:pPr>
      <w:r>
        <w:t>NYC Yellow Taxi Analytics</w:t>
      </w:r>
    </w:p>
    <w:p w14:paraId="191B5497">
      <w:pPr>
        <w:pStyle w:val="2"/>
      </w:pPr>
      <w:r>
        <w:t>February 23, 2026 — Excluded-Date Rationale</w:t>
      </w:r>
    </w:p>
    <w:p w14:paraId="69AD1386"/>
    <w:p w14:paraId="430F653F">
      <w:pPr>
        <w:pStyle w:val="2"/>
        <w:rPr>
          <w:b/>
          <w:bCs/>
        </w:rPr>
      </w:pPr>
      <w:r>
        <w:t>Decision</w:t>
      </w:r>
    </w:p>
    <w:p w14:paraId="2407893E">
      <w:r>
        <w:t>February 23, 2026 is excluded from the project’s primary business-analysis layer. The project uses a 27-day adjusted view for its main business KPIs and retains the full cleaned dataset as the comparison basis for sensitivity analysis. This is an explicit analytical decision, not a claim that the source records are definitively invalid.</w:t>
      </w:r>
    </w:p>
    <w:p w14:paraId="12260450">
      <w:pPr>
        <w:pStyle w:val="2"/>
      </w:pPr>
      <w:r>
        <w:t>Reason for the decision</w:t>
      </w:r>
    </w:p>
    <w:p w14:paraId="3D5B6DC3">
      <w:r>
        <w:t>The raw imported table already showed unusually low trip volume on February 23 compared with the adjacent dates. The discrepancy was present before the cleaning process, so cleaning did not create the main volume anomaly. The raw and final-layer comparisons also show a markedly lower average trip distance and a higher count/share of zero-distance records on February 23.</w:t>
      </w:r>
    </w:p>
    <w:p w14:paraId="00DFD60C">
      <w:pPr>
        <w:pStyle w:val="2"/>
      </w:pPr>
      <w:r>
        <w:t>Observed evidence (raw table)</w:t>
      </w:r>
    </w:p>
    <w:p w14:paraId="14219DC6">
      <w:pPr>
        <w:pStyle w:val="23"/>
      </w:pPr>
      <w:r>
        <w:t>Feb 22: 85,555 trips; 1,101 zero-distance trips; average distance 5.92 miles; total_amount sum $2,468,563.24.</w:t>
      </w:r>
    </w:p>
    <w:p w14:paraId="1A1E9EC1">
      <w:pPr>
        <w:pStyle w:val="23"/>
      </w:pPr>
      <w:r>
        <w:t>Feb 23: 26,039 trips; 2,923 zero-distance trips; average distance 2.72 miles; total_amount sum $739,924.02.</w:t>
      </w:r>
    </w:p>
    <w:p w14:paraId="3412D669">
      <w:pPr>
        <w:pStyle w:val="23"/>
      </w:pPr>
      <w:r>
        <w:t>Feb 24: 104,315 trips; 6,155 zero-distance trips; average distance 9.59 miles; total_amount sum $3,019,495.00.</w:t>
      </w:r>
    </w:p>
    <w:p w14:paraId="7321C382">
      <w:pPr>
        <w:pStyle w:val="2"/>
      </w:pPr>
      <w:r>
        <w:t>Observed evidence (final cleaned layer)</w:t>
      </w:r>
    </w:p>
    <w:p w14:paraId="0B803811">
      <w:pPr>
        <w:pStyle w:val="23"/>
      </w:pPr>
      <w:r>
        <w:t>Feb 22: 84,629 trips; total revenue $2,437,456.84; total distance 502,421.18; average revenue per trip $28.80; average distance 5.94 miles.</w:t>
      </w:r>
    </w:p>
    <w:p w14:paraId="6F0F8031">
      <w:pPr>
        <w:pStyle w:val="23"/>
      </w:pPr>
      <w:r>
        <w:t>Feb 23: 25,863 trips; total revenue $733,182.79; total distance 69,626.54; average revenue per trip $28.35; average distance 2.69 miles.</w:t>
      </w:r>
    </w:p>
    <w:p w14:paraId="5B269B20">
      <w:pPr>
        <w:pStyle w:val="23"/>
      </w:pPr>
      <w:r>
        <w:t>Feb 24: 103,169 trips; total revenue $2,988,319.03; total distance 996,403.52; average revenue per trip $28.97; average distance 9.66 miles.</w:t>
      </w:r>
    </w:p>
    <w:p w14:paraId="57C6A711">
      <w:r>
        <w:t>The raw count on February 23 is approximately 69.6% below February 22, and 75.1% below February 24. Cleaning removed 176 records from February 23 (26,039 raw to 25,863 final), so the principal volume drop existed in the raw table. The relatively stable average revenue per trip does not establish that the day is complete or incomplete.</w:t>
      </w:r>
    </w:p>
    <w:p w14:paraId="402EE1E6">
      <w:pPr>
        <w:pStyle w:val="2"/>
      </w:pPr>
      <w:r>
        <w:t>Impact on the primary business view</w:t>
      </w:r>
    </w:p>
    <w:p w14:paraId="7F600024">
      <w:pPr>
        <w:pStyle w:val="23"/>
      </w:pPr>
      <w:r>
        <w:t>Analysis dates: 27 of 28 calendar dates (February 1–28, 2026).</w:t>
      </w:r>
    </w:p>
    <w:p w14:paraId="33052B37">
      <w:pPr>
        <w:pStyle w:val="23"/>
      </w:pPr>
      <w:r>
        <w:t>Trips: 3,329,782.</w:t>
      </w:r>
    </w:p>
    <w:p w14:paraId="5486B6C1">
      <w:pPr>
        <w:pStyle w:val="23"/>
      </w:pPr>
      <w:r>
        <w:t>Total revenue: $100,340,136.16.</w:t>
      </w:r>
    </w:p>
    <w:p w14:paraId="299E4159">
      <w:pPr>
        <w:pStyle w:val="23"/>
      </w:pPr>
      <w:r>
        <w:t>Average revenue per trip: $30.13.</w:t>
      </w:r>
    </w:p>
    <w:p w14:paraId="426B8090">
      <w:pPr>
        <w:pStyle w:val="23"/>
      </w:pPr>
      <w:r>
        <w:t>Revenue per mile: $4.78.</w:t>
      </w:r>
    </w:p>
    <w:p w14:paraId="557B52E3">
      <w:pPr>
        <w:pStyle w:val="23"/>
      </w:pPr>
      <w:r>
        <w:t>Illustrative 5% revenue uplift: $5,017,006.81.</w:t>
      </w:r>
    </w:p>
    <w:p w14:paraId="005910D1">
      <w:pPr>
        <w:pStyle w:val="2"/>
      </w:pPr>
      <w:r>
        <w:t>Methodology and limitations</w:t>
      </w:r>
    </w:p>
    <w:p w14:paraId="526E82F0">
      <w:r>
        <w:t>February 23 is treated as an anomalous-volume day for the primary business view because its volume and distance profile differs sharply from adjacent dates and the anomaly is present in the raw imported table. The available analysis does not independently establish the root cause. Possible explanations such as partial source coverage, source reporting differences, or unusual real-world conditions have not been confirmed. Therefore, this document does not label the records corrupt, invalid, or definitively incomplete.</w:t>
      </w:r>
    </w:p>
    <w:p w14:paraId="7B1E3790">
      <w:pPr>
        <w:pStyle w:val="2"/>
      </w:pPr>
      <w:r>
        <w:t>Reporting rule</w:t>
      </w:r>
    </w:p>
    <w:p w14:paraId="78E435EF">
      <w:r>
        <w:t>Use the 27-day excluded-date view for the primary business KPIs, clearly label the exclusion in project documentation and dashboard notes, and preserve the 28-day view as a sensitivity comparison. Do not compare daily averages without stating whether the denominator is 27 or 28 days. Revenue uplift scenarios are illustrative sensitivity calculations, not forecasts.</w:t>
      </w:r>
    </w:p>
    <w:p w14:paraId="11988D51">
      <w:pPr>
        <w:pStyle w:val="2"/>
      </w:pPr>
      <w:r>
        <w:t>Reproducibility</w:t>
      </w:r>
      <w:bookmarkStart w:id="0" w:name="_GoBack"/>
      <w:bookmarkEnd w:id="0"/>
    </w:p>
    <w:p w14:paraId="5DC46A35">
      <w:r>
        <w:t>The business layer is defined by excluding pickup_date = '2026-02-23' from analytics_yellow_taxi_final. The raw schema uses pickup_datetime, dropoff_datetime, trip_distance and total_amount. The exclusion is a documented business-analysis rule; it should not be silently applied to or used to overwrite the underlying raw or cleaned layers.</w:t>
      </w:r>
    </w:p>
    <w:sectPr>
      <w:pgSz w:w="12240" w:h="15840"/>
      <w:pgMar w:top="1008" w:right="1800" w:bottom="1008"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2C21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503</Words>
  <Characters>3012</Characters>
  <Lines>0</Lines>
  <Paragraphs>0</Paragraphs>
  <TotalTime>1</TotalTime>
  <ScaleCrop>false</ScaleCrop>
  <LinksUpToDate>false</LinksUpToDate>
  <CharactersWithSpaces>3487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abhin</cp:lastModifiedBy>
  <dcterms:modified xsi:type="dcterms:W3CDTF">2026-10-27T12:39:12Z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eyJoZGlkIjoiMDljYzUzMWQ4OWI0YzBkYjYzMDRhZTY5ZjZkYmFmYTgiLCJ1c2VySWQiOiI1NjcxMzIxMzUwOTUifQ==</vt:lpwstr>
  </property>
  <property fmtid="{D5CDD505-2E9C-101B-9397-08002B2CF9AE}" pid="3" name="KSOProductBuildVer">
    <vt:lpwstr>1033-12.1.0.29162</vt:lpwstr>
  </property>
  <property fmtid="{D5CDD505-2E9C-101B-9397-08002B2CF9AE}" pid="4" name="ICV">
    <vt:lpwstr>80572EA47AD44BCDA0BAD3D58E48DDA2_12</vt:lpwstr>
  </property>
</Properties>
</file>