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99A6E5">
      <w:pPr>
        <w:spacing w:after="40"/>
      </w:pPr>
      <w:r>
        <w:rPr>
          <w:rFonts w:ascii="Aptos" w:hAnsi="Aptos"/>
          <w:b/>
          <w:color w:val="1F4E78"/>
          <w:sz w:val="18"/>
        </w:rPr>
        <w:t>DATA QUALITY DECISION RECORD</w:t>
      </w:r>
    </w:p>
    <w:p w14:paraId="52182B16">
      <w:pPr>
        <w:pStyle w:val="36"/>
        <w:spacing w:after="80"/>
      </w:pPr>
      <w:r>
        <w:t>Remaining Row-Level</w:t>
      </w:r>
      <w:r>
        <w:br w:type="textWrapping"/>
      </w:r>
      <w:r>
        <w:t>Anomaly Exclusions</w:t>
      </w:r>
    </w:p>
    <w:p w14:paraId="385226CC">
      <w:pPr>
        <w:spacing w:after="240"/>
      </w:pPr>
      <w:r>
        <w:rPr>
          <w:color w:val="5B6573"/>
          <w:sz w:val="20"/>
        </w:rPr>
        <w:t>NYC Yellow Taxi Analytics  |  February 2026  |  MySQL Workbench → Power BI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4BBAC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0" w:type="dxa"/>
            <w:shd w:val="clear" w:color="auto" w:fill="D9EAF7"/>
          </w:tcPr>
          <w:p w14:paraId="488379C3">
            <w:pPr>
              <w:spacing w:before="80" w:after="80"/>
            </w:pPr>
            <w:r>
              <w:rPr>
                <w:b/>
                <w:color w:val="17365D"/>
                <w:sz w:val="20"/>
              </w:rPr>
              <w:t>Purpose</w:t>
            </w:r>
          </w:p>
          <w:p w14:paraId="3C2D76EB">
            <w:pPr>
              <w:spacing w:after="80"/>
            </w:pPr>
            <w:r>
              <w:rPr>
                <w:sz w:val="19"/>
              </w:rPr>
              <w:t>This record documents the row-level exclusion rules applied before the separate February 23 date-level exclusion. It complements—not replaces—the February 23 Exclusion Rationale.</w:t>
            </w:r>
          </w:p>
        </w:tc>
      </w:tr>
    </w:tbl>
    <w:p w14:paraId="413C8311">
      <w:pPr>
        <w:pStyle w:val="2"/>
      </w:pPr>
      <w:r>
        <w:t>1. Executive summary</w:t>
      </w:r>
    </w:p>
    <w:p w14:paraId="38A2170A">
      <w:r>
        <w:t>The project documentation records three row-level exclusion rules: Vendor 7 records with identical pickup and drop-off timestamps, records with negative trip duration, and trips longer than the project-defined 120-minute threshold. Together, these stage-level reductions total 44,205 records (40,243 + 3,962). These records should not all be described as confirmed bad data: the first rule targets a specific timestamp condition, the second removes invalid elapsed-time ordering, and the third is an analytical threshold that can exclude legitimate exceptional trips.</w:t>
      </w:r>
    </w:p>
    <w:p w14:paraId="020FE395">
      <w:pPr>
        <w:pStyle w:val="2"/>
      </w:pPr>
      <w:r>
        <w:t>2. Exclusion register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7"/>
        <w:gridCol w:w="1244"/>
        <w:gridCol w:w="2099"/>
        <w:gridCol w:w="2694"/>
        <w:gridCol w:w="2262"/>
      </w:tblGrid>
      <w:tr w14:paraId="57AD7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17365D"/>
            <w:vAlign w:val="center"/>
          </w:tcPr>
          <w:p w14:paraId="6B03BB5A">
            <w:pPr>
              <w:spacing w:before="2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Rule / condition</w:t>
            </w:r>
          </w:p>
        </w:tc>
        <w:tc>
          <w:tcPr>
            <w:tcW w:w="1008" w:type="dxa"/>
            <w:shd w:val="clear" w:color="auto" w:fill="17365D"/>
            <w:vAlign w:val="center"/>
          </w:tcPr>
          <w:p w14:paraId="42B8720E">
            <w:pPr>
              <w:spacing w:before="2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Documented count</w:t>
            </w:r>
          </w:p>
        </w:tc>
        <w:tc>
          <w:tcPr>
            <w:tcW w:w="2376" w:type="dxa"/>
            <w:shd w:val="clear" w:color="auto" w:fill="17365D"/>
            <w:vAlign w:val="center"/>
          </w:tcPr>
          <w:p w14:paraId="409E2C72">
            <w:pPr>
              <w:spacing w:before="2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Why applied</w:t>
            </w:r>
          </w:p>
        </w:tc>
        <w:tc>
          <w:tcPr>
            <w:tcW w:w="3024" w:type="dxa"/>
            <w:shd w:val="clear" w:color="auto" w:fill="17365D"/>
            <w:vAlign w:val="center"/>
          </w:tcPr>
          <w:p w14:paraId="1C3947F8">
            <w:pPr>
              <w:spacing w:before="2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Interpretation</w:t>
            </w:r>
          </w:p>
        </w:tc>
        <w:tc>
          <w:tcPr>
            <w:tcW w:w="2160" w:type="dxa"/>
            <w:shd w:val="clear" w:color="auto" w:fill="17365D"/>
            <w:vAlign w:val="center"/>
          </w:tcPr>
          <w:p w14:paraId="2DF19D9F">
            <w:pPr>
              <w:spacing w:before="2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Stage</w:t>
            </w:r>
          </w:p>
        </w:tc>
      </w:tr>
      <w:tr w14:paraId="68B74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3127F7A9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Vendor 7 with identical pickup and drop-off timestamps</w:t>
            </w:r>
          </w:p>
        </w:tc>
        <w:tc>
          <w:tcPr>
            <w:tcW w:w="1008" w:type="dxa"/>
            <w:vAlign w:val="center"/>
          </w:tcPr>
          <w:p w14:paraId="2D418EDB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40,241</w:t>
            </w:r>
          </w:p>
        </w:tc>
        <w:tc>
          <w:tcPr>
            <w:tcW w:w="2376" w:type="dxa"/>
            <w:vAlign w:val="center"/>
          </w:tcPr>
          <w:p w14:paraId="313360FF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Remove rows matching the project's specific Vendor 7 timestamp condition.</w:t>
            </w:r>
          </w:p>
        </w:tc>
        <w:tc>
          <w:tcPr>
            <w:tcW w:w="3024" w:type="dxa"/>
            <w:vAlign w:val="center"/>
          </w:tcPr>
          <w:p w14:paraId="10101CE0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Zero elapsed time under this condition; duplicate-like or zero-duration records, but not proven duplicates unless other fields/key logic confirm it.</w:t>
            </w:r>
          </w:p>
        </w:tc>
        <w:tc>
          <w:tcPr>
            <w:tcW w:w="2160" w:type="dxa"/>
            <w:vAlign w:val="center"/>
          </w:tcPr>
          <w:p w14:paraId="29847B56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analytics_yellow_taxi → analytics_yellow_taxi_cleaned</w:t>
            </w:r>
          </w:p>
        </w:tc>
      </w:tr>
      <w:tr w14:paraId="0413A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shd w:val="clear" w:color="auto" w:fill="F3F6FA"/>
            <w:vAlign w:val="center"/>
          </w:tcPr>
          <w:p w14:paraId="2A5140B1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Negative trip duration</w:t>
            </w:r>
          </w:p>
        </w:tc>
        <w:tc>
          <w:tcPr>
            <w:tcW w:w="1008" w:type="dxa"/>
            <w:shd w:val="clear" w:color="auto" w:fill="F3F6FA"/>
            <w:vAlign w:val="center"/>
          </w:tcPr>
          <w:p w14:paraId="554AEEFF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2</w:t>
            </w:r>
          </w:p>
        </w:tc>
        <w:tc>
          <w:tcPr>
            <w:tcW w:w="2376" w:type="dxa"/>
            <w:shd w:val="clear" w:color="auto" w:fill="F3F6FA"/>
            <w:vAlign w:val="center"/>
          </w:tcPr>
          <w:p w14:paraId="03E8273C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A drop-off timestamp earlier than pickup creates negative elapsed time.</w:t>
            </w:r>
          </w:p>
        </w:tc>
        <w:tc>
          <w:tcPr>
            <w:tcW w:w="3024" w:type="dxa"/>
            <w:shd w:val="clear" w:color="auto" w:fill="F3F6FA"/>
            <w:vAlign w:val="center"/>
          </w:tcPr>
          <w:p w14:paraId="0F3A84A0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Not suitable for valid duration-based analysis; confirm the implemented duration expression and inspect the two records if an audit trail is required.</w:t>
            </w:r>
          </w:p>
        </w:tc>
        <w:tc>
          <w:tcPr>
            <w:tcW w:w="2160" w:type="dxa"/>
            <w:shd w:val="clear" w:color="auto" w:fill="F3F6FA"/>
            <w:vAlign w:val="center"/>
          </w:tcPr>
          <w:p w14:paraId="72015C65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analytics_yellow_taxi → analytics_yellow_taxi_cleaned</w:t>
            </w:r>
          </w:p>
        </w:tc>
      </w:tr>
      <w:tr w14:paraId="79820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vAlign w:val="center"/>
          </w:tcPr>
          <w:p w14:paraId="1EE6010A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Trip duration greater than 120 minutes</w:t>
            </w:r>
          </w:p>
        </w:tc>
        <w:tc>
          <w:tcPr>
            <w:tcW w:w="1008" w:type="dxa"/>
            <w:vAlign w:val="center"/>
          </w:tcPr>
          <w:p w14:paraId="5B4F007D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3,962</w:t>
            </w:r>
          </w:p>
        </w:tc>
        <w:tc>
          <w:tcPr>
            <w:tcW w:w="2376" w:type="dxa"/>
            <w:vAlign w:val="center"/>
          </w:tcPr>
          <w:p w14:paraId="1A02B16B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Limit the influence of extreme trip durations on typical-trip and duration KPIs.</w:t>
            </w:r>
          </w:p>
        </w:tc>
        <w:tc>
          <w:tcPr>
            <w:tcW w:w="3024" w:type="dxa"/>
            <w:vAlign w:val="center"/>
          </w:tcPr>
          <w:p w14:paraId="4759356B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Project-defined analytical threshold, not a universal TLC rule. Some long trips may be legitimate; results are conditional on this cutoff.</w:t>
            </w:r>
          </w:p>
        </w:tc>
        <w:tc>
          <w:tcPr>
            <w:tcW w:w="2160" w:type="dxa"/>
            <w:vAlign w:val="center"/>
          </w:tcPr>
          <w:p w14:paraId="13A8E603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analytics_yellow_taxi_cleaned → analytics_yellow_taxi_final</w:t>
            </w:r>
          </w:p>
        </w:tc>
      </w:tr>
    </w:tbl>
    <w:p w14:paraId="3977D396">
      <w:pPr>
        <w:pStyle w:val="2"/>
      </w:pPr>
      <w:r>
        <w:t>3. How these rules affect the record counts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5"/>
        <w:gridCol w:w="1421"/>
        <w:gridCol w:w="1639"/>
        <w:gridCol w:w="4411"/>
      </w:tblGrid>
      <w:tr w14:paraId="24C5E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7365D"/>
            <w:vAlign w:val="center"/>
          </w:tcPr>
          <w:p w14:paraId="7128ACF9">
            <w:pPr>
              <w:spacing w:before="2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Pipeline stage</w:t>
            </w:r>
          </w:p>
        </w:tc>
        <w:tc>
          <w:tcPr>
            <w:tcW w:w="1440" w:type="dxa"/>
            <w:shd w:val="clear" w:color="auto" w:fill="17365D"/>
            <w:vAlign w:val="center"/>
          </w:tcPr>
          <w:p w14:paraId="125570AE">
            <w:pPr>
              <w:spacing w:before="2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Documented records</w:t>
            </w:r>
          </w:p>
        </w:tc>
        <w:tc>
          <w:tcPr>
            <w:tcW w:w="1728" w:type="dxa"/>
            <w:shd w:val="clear" w:color="auto" w:fill="17365D"/>
            <w:vAlign w:val="center"/>
          </w:tcPr>
          <w:p w14:paraId="54F4BA27">
            <w:pPr>
              <w:spacing w:before="2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Change from prior stage</w:t>
            </w:r>
          </w:p>
        </w:tc>
        <w:tc>
          <w:tcPr>
            <w:tcW w:w="4752" w:type="dxa"/>
            <w:shd w:val="clear" w:color="auto" w:fill="17365D"/>
            <w:vAlign w:val="center"/>
          </w:tcPr>
          <w:p w14:paraId="5F9A12AE">
            <w:pPr>
              <w:spacing w:before="20" w:after="2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 w14:paraId="227B7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9CA1F14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analytics_yellow_taxi</w:t>
            </w:r>
          </w:p>
        </w:tc>
        <w:tc>
          <w:tcPr>
            <w:tcW w:w="1440" w:type="dxa"/>
            <w:vAlign w:val="center"/>
          </w:tcPr>
          <w:p w14:paraId="6249CCD1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3,399,850</w:t>
            </w:r>
          </w:p>
        </w:tc>
        <w:tc>
          <w:tcPr>
            <w:tcW w:w="1728" w:type="dxa"/>
            <w:vAlign w:val="center"/>
          </w:tcPr>
          <w:p w14:paraId="1920D7A7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—</w:t>
            </w:r>
          </w:p>
        </w:tc>
        <w:tc>
          <w:tcPr>
            <w:tcW w:w="4752" w:type="dxa"/>
            <w:vAlign w:val="center"/>
          </w:tcPr>
          <w:p w14:paraId="368A8112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Starting population for the documented transformation sequence</w:t>
            </w:r>
          </w:p>
        </w:tc>
      </w:tr>
      <w:tr w14:paraId="4858C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247DBC07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analytics_yellow_taxi_cleaned</w:t>
            </w:r>
          </w:p>
        </w:tc>
        <w:tc>
          <w:tcPr>
            <w:tcW w:w="1440" w:type="dxa"/>
            <w:shd w:val="clear" w:color="auto" w:fill="F3F6FA"/>
            <w:vAlign w:val="center"/>
          </w:tcPr>
          <w:p w14:paraId="145E7520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3,359,607</w:t>
            </w:r>
          </w:p>
        </w:tc>
        <w:tc>
          <w:tcPr>
            <w:tcW w:w="1728" w:type="dxa"/>
            <w:shd w:val="clear" w:color="auto" w:fill="F3F6FA"/>
            <w:vAlign w:val="center"/>
          </w:tcPr>
          <w:p w14:paraId="7633211D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−40,243</w:t>
            </w:r>
          </w:p>
        </w:tc>
        <w:tc>
          <w:tcPr>
            <w:tcW w:w="4752" w:type="dxa"/>
            <w:shd w:val="clear" w:color="auto" w:fill="F3F6FA"/>
            <w:vAlign w:val="center"/>
          </w:tcPr>
          <w:p w14:paraId="6E35CAB9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Vendor 7 identical-timestamp condition and 2 negative-duration rows</w:t>
            </w:r>
          </w:p>
        </w:tc>
      </w:tr>
      <w:tr w14:paraId="3487D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67F0D00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analytics_yellow_taxi_final</w:t>
            </w:r>
          </w:p>
        </w:tc>
        <w:tc>
          <w:tcPr>
            <w:tcW w:w="1440" w:type="dxa"/>
            <w:vAlign w:val="center"/>
          </w:tcPr>
          <w:p w14:paraId="083DF2BD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3,355,645</w:t>
            </w:r>
          </w:p>
        </w:tc>
        <w:tc>
          <w:tcPr>
            <w:tcW w:w="1728" w:type="dxa"/>
            <w:vAlign w:val="center"/>
          </w:tcPr>
          <w:p w14:paraId="3E0CF7FF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−3,962</w:t>
            </w:r>
          </w:p>
        </w:tc>
        <w:tc>
          <w:tcPr>
            <w:tcW w:w="4752" w:type="dxa"/>
            <w:vAlign w:val="center"/>
          </w:tcPr>
          <w:p w14:paraId="16B9784F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Trips over 120 minutes removed</w:t>
            </w:r>
          </w:p>
        </w:tc>
      </w:tr>
      <w:tr w14:paraId="290CB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3F6FA"/>
            <w:vAlign w:val="center"/>
          </w:tcPr>
          <w:p w14:paraId="185D7040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analytics_yellow_taxi_business</w:t>
            </w:r>
          </w:p>
        </w:tc>
        <w:tc>
          <w:tcPr>
            <w:tcW w:w="1440" w:type="dxa"/>
            <w:shd w:val="clear" w:color="auto" w:fill="F3F6FA"/>
            <w:vAlign w:val="center"/>
          </w:tcPr>
          <w:p w14:paraId="3E406B37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3,329,782</w:t>
            </w:r>
          </w:p>
        </w:tc>
        <w:tc>
          <w:tcPr>
            <w:tcW w:w="1728" w:type="dxa"/>
            <w:shd w:val="clear" w:color="auto" w:fill="F3F6FA"/>
            <w:vAlign w:val="center"/>
          </w:tcPr>
          <w:p w14:paraId="13F6F620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−25,863</w:t>
            </w:r>
          </w:p>
        </w:tc>
        <w:tc>
          <w:tcPr>
            <w:tcW w:w="4752" w:type="dxa"/>
            <w:shd w:val="clear" w:color="auto" w:fill="F3F6FA"/>
            <w:vAlign w:val="center"/>
          </w:tcPr>
          <w:p w14:paraId="30FB45A3">
            <w:pPr>
              <w:spacing w:before="20" w:after="20" w:line="240" w:lineRule="auto"/>
            </w:pPr>
            <w:r>
              <w:rPr>
                <w:rFonts w:ascii="Aptos" w:hAnsi="Aptos"/>
                <w:b w:val="0"/>
                <w:sz w:val="16"/>
              </w:rPr>
              <w:t>February 23 removed from the business-analysis population</w:t>
            </w:r>
          </w:p>
        </w:tc>
      </w:tr>
    </w:tbl>
    <w:p w14:paraId="083D5992">
      <w:pPr>
        <w:spacing w:before="100"/>
        <w:rPr>
          <w:b/>
          <w:color w:val="17365D"/>
        </w:rPr>
      </w:pPr>
    </w:p>
    <w:p w14:paraId="2A95A276">
      <w:pPr>
        <w:spacing w:before="100"/>
        <w:rPr>
          <w:b/>
          <w:color w:val="17365D"/>
        </w:rPr>
      </w:pPr>
    </w:p>
    <w:p w14:paraId="06C79AAA">
      <w:pPr>
        <w:spacing w:before="100"/>
      </w:pPr>
      <w:bookmarkStart w:id="0" w:name="_GoBack"/>
      <w:bookmarkEnd w:id="0"/>
      <w:r>
        <w:rPr>
          <w:b/>
          <w:color w:val="17365D"/>
        </w:rPr>
        <w:t xml:space="preserve">Reconciliation note: </w:t>
      </w:r>
      <w:r>
        <w:t>The documented row-level reductions total 44,205. The separate February 23 business-layer exclusion is 25,863 at the documented stage. Together they reconcile arithmetically to the 70,068 difference between the source-stage and business-stage counts. This arithmetic does not, by itself, prove that filters are non-overlapping or that the SQL execution order matches the written sequence.</w:t>
      </w:r>
    </w:p>
    <w:p w14:paraId="1A2EFDB7">
      <w:pPr>
        <w:pStyle w:val="2"/>
      </w:pPr>
      <w:r>
        <w:t>4. SQL logic documented for the project</w:t>
      </w:r>
    </w:p>
    <w:p w14:paraId="67115413">
      <w:r>
        <w:t>The project runbook describes the cleaning rules using the following conditions:</w:t>
      </w:r>
    </w:p>
    <w:p w14:paraId="086EF7EC">
      <w:pPr>
        <w:spacing w:before="40" w:after="100"/>
        <w:ind w:left="288" w:right="288"/>
      </w:pPr>
      <w:r>
        <w:rPr>
          <w:rFonts w:ascii="Consolas" w:hAnsi="Consolas"/>
          <w:color w:val="17365D"/>
          <w:sz w:val="17"/>
        </w:rPr>
        <w:t>Cleaned layer:</w:t>
      </w:r>
      <w:r>
        <w:rPr>
          <w:rFonts w:ascii="Consolas" w:hAnsi="Consolas"/>
          <w:color w:val="17365D"/>
          <w:sz w:val="17"/>
        </w:rPr>
        <w:br w:type="textWrapping"/>
      </w:r>
      <w:r>
        <w:rPr>
          <w:rFonts w:ascii="Consolas" w:hAnsi="Consolas"/>
          <w:color w:val="17365D"/>
          <w:sz w:val="17"/>
        </w:rPr>
        <w:t xml:space="preserve">  NOT (vendor_id = 7 AND pickup_datetime = dropoff_datetime)</w:t>
      </w:r>
      <w:r>
        <w:rPr>
          <w:rFonts w:ascii="Consolas" w:hAnsi="Consolas"/>
          <w:color w:val="17365D"/>
          <w:sz w:val="17"/>
        </w:rPr>
        <w:br w:type="textWrapping"/>
      </w:r>
      <w:r>
        <w:rPr>
          <w:rFonts w:ascii="Consolas" w:hAnsi="Consolas"/>
          <w:color w:val="17365D"/>
          <w:sz w:val="17"/>
        </w:rPr>
        <w:t xml:space="preserve">  AND NOT (dropoff_datetime &lt; pickup_datetime)</w:t>
      </w:r>
      <w:r>
        <w:rPr>
          <w:rFonts w:ascii="Consolas" w:hAnsi="Consolas"/>
          <w:color w:val="17365D"/>
          <w:sz w:val="17"/>
        </w:rPr>
        <w:br w:type="textWrapping"/>
      </w:r>
      <w:r>
        <w:rPr>
          <w:rFonts w:ascii="Consolas" w:hAnsi="Consolas"/>
          <w:color w:val="17365D"/>
          <w:sz w:val="17"/>
        </w:rPr>
        <w:br w:type="textWrapping"/>
      </w:r>
      <w:r>
        <w:rPr>
          <w:rFonts w:ascii="Consolas" w:hAnsi="Consolas"/>
          <w:color w:val="17365D"/>
          <w:sz w:val="17"/>
        </w:rPr>
        <w:t>Final layer:</w:t>
      </w:r>
      <w:r>
        <w:rPr>
          <w:rFonts w:ascii="Consolas" w:hAnsi="Consolas"/>
          <w:color w:val="17365D"/>
          <w:sz w:val="17"/>
        </w:rPr>
        <w:br w:type="textWrapping"/>
      </w:r>
      <w:r>
        <w:rPr>
          <w:rFonts w:ascii="Consolas" w:hAnsi="Consolas"/>
          <w:color w:val="17365D"/>
          <w:sz w:val="17"/>
        </w:rPr>
        <w:t xml:space="preserve">  trip_duration_minutes &lt;= 120</w:t>
      </w:r>
    </w:p>
    <w:p w14:paraId="2EA3FACE"/>
    <w:sectPr>
      <w:headerReference r:id="rId5" w:type="default"/>
      <w:footerReference r:id="rId6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9AA87">
    <w:pPr>
      <w:pStyle w:val="18"/>
      <w:jc w:val="center"/>
    </w:pPr>
    <w:r>
      <w:rPr>
        <w:rFonts w:ascii="Aptos" w:hAnsi="Aptos"/>
        <w:color w:val="5B6573"/>
        <w:sz w:val="16"/>
      </w:rPr>
      <w:t>Internal project documentation  •  February 2026 dataset  •  Row-level exclusions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8625DB">
    <w:pPr>
      <w:pStyle w:val="19"/>
      <w:jc w:val="right"/>
    </w:pPr>
    <w:r>
      <w:rPr>
        <w:rFonts w:ascii="Aptos" w:hAnsi="Aptos"/>
        <w:b/>
        <w:color w:val="1F4E78"/>
        <w:sz w:val="16"/>
      </w:rPr>
      <w:t>NYC YELLOW TAXI ANALYTICS  |  DATA QUALITY &amp; EXCLUSION DECISIONS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88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color w:val="28303A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0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8"/>
      <w:sz w:val="22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8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695</Words>
  <Characters>4536</Characters>
  <Lines>0</Lines>
  <Paragraphs>0</Paragraphs>
  <TotalTime>0</TotalTime>
  <ScaleCrop>false</ScaleCrop>
  <LinksUpToDate>false</LinksUpToDate>
  <CharactersWithSpaces>5173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Abhinav Abhi</cp:lastModifiedBy>
  <dcterms:modified xsi:type="dcterms:W3CDTF">2026-10-27T14:47:57Z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eyJoZGlkIjoiMDljYzUzMWQ4OWI0YzBkYjYzMDRhZTY5ZjZkYmFmYTgiLCJ1c2VySWQiOiI1NjcxMzIxMzUwOTUifQ==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4CCC38DF46894EE3ACE6FC3D56C2C595_12</vt:lpwstr>
  </property>
</Properties>
</file>