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CodeAudit AI: Multi-Agent LLM Orchestration for Claim Authentication via Semantic Codebase Vectorization</w:t>
        <w:br/>
        <w:br/>
      </w:r>
      <w:r>
        <w:rPr>
          <w:sz w:val="28"/>
        </w:rPr>
        <w:t>A Project Report Submitted in Partial Fulfillment of the Requirements for the Degree of</w:t>
        <w:br/>
        <w:t>Bachelor of Technology</w:t>
        <w:br/>
        <w:br/>
      </w:r>
    </w:p>
    <w:p>
      <w:r>
        <w:br w:type="page"/>
      </w:r>
    </w:p>
    <w:p>
      <w:pPr>
        <w:keepNext/>
        <w:spacing w:before="360" w:after="160"/>
      </w:pPr>
      <w:r>
        <w:rPr>
          <w:rFonts w:ascii="Bookman Old Style" w:hAnsi="Bookman Old Style"/>
          <w:b/>
          <w:color w:val="000000"/>
          <w:sz w:val="32"/>
        </w:rPr>
        <w:t>ABSTRACT</w:t>
      </w:r>
    </w:p>
    <w:p>
      <w:pPr>
        <w:spacing w:line="360" w:lineRule="auto" w:after="120"/>
      </w:pPr>
      <w:r>
        <w:t>The modern technical recruitment landscape relies heavily on automated screening platforms to process large volumes of candidate applications. Traditional resume screening systems rely almost exclusively on keyword matching and candidate self-reporting, creating severe vulnerabilities to skill inflation, exaggerated experience, and AI-generated resume stuffing. This report presents CodeAudit AI, a novel multi-agent Retrieval-Augmented Generation (RAG) framework designed to authenticate technical skill claims on candidate resumes against publicly available source code repositories on GitHub. By anchoring technical skill evaluation in concrete, functional code artifacts, CodeAudit AI achieves 93.3% accuracy, 100.0% precision, 90.0% recall, 94.7% F1-score, and 100.0% specificity across a 30-case benchmark dataset spanning 5 technical domains.</w:t>
      </w:r>
    </w:p>
    <w:p>
      <w:r>
        <w:br w:type="page"/>
      </w:r>
    </w:p>
    <w:p>
      <w:pPr>
        <w:keepNext/>
        <w:spacing w:before="360" w:after="160"/>
      </w:pPr>
      <w:r>
        <w:rPr>
          <w:rFonts w:ascii="Bookman Old Style" w:hAnsi="Bookman Old Style"/>
          <w:b/>
          <w:color w:val="000000"/>
          <w:sz w:val="32"/>
        </w:rPr>
        <w:t>INTRODUCTION</w:t>
      </w:r>
    </w:p>
    <w:p>
      <w:pPr>
        <w:keepNext/>
        <w:spacing w:before="280" w:after="120"/>
      </w:pPr>
      <w:r>
        <w:rPr>
          <w:rFonts w:ascii="Bookman Old Style" w:hAnsi="Bookman Old Style"/>
          <w:b/>
          <w:color w:val="000000"/>
          <w:sz w:val="28"/>
        </w:rPr>
        <w:t>Background and Context</w:t>
      </w:r>
    </w:p>
    <w:p>
      <w:pPr>
        <w:spacing w:line="360" w:lineRule="auto" w:after="120"/>
      </w:pPr>
      <w:r>
        <w:t xml:space="preserve">The modern technical recruitment landscape relies heavily on automated screening platforms to process large volumes of candidate applications </w:t>
      </w:r>
      <w:r>
        <w:rPr>
          <w:color w:val="323296"/>
        </w:rPr>
        <w:t>[ref1]</w:t>
      </w:r>
      <w:r>
        <w:t xml:space="preserve">. Resumes serve as the primary initial screening document, summarizing a candidate's technical skills, professional experience, project achievements, and academic background </w:t>
      </w:r>
      <w:r>
        <w:rPr>
          <w:color w:val="323296"/>
        </w:rPr>
        <w:t>[ref2]</w:t>
      </w:r>
      <w:r>
        <w:t xml:space="preserve">. However, traditional resume evaluation pipelines face severe structural challenges when assessing technical competency in software engineering, data science, and DevOps domains </w:t>
      </w:r>
      <w:r>
        <w:rPr>
          <w:color w:val="323296"/>
        </w:rPr>
        <w:t>[ref3, ref4]</w:t>
      </w:r>
      <w:r>
        <w:t xml:space="preserve">. Human recruiters, particularly those operating in high-volume talent acquisition pipelines, often lack the domain-specific technical knowledge required to evaluate complex software architectures, framework proficiencies, or algorithmic experience </w:t>
      </w:r>
      <w:r>
        <w:rPr>
          <w:color w:val="323296"/>
        </w:rPr>
        <w:t>[ref5]</w:t>
      </w:r>
      <w:r>
        <w:t xml:space="preserve">. Consequently, recruitment teams rely heavily on automated Applicant Tracking Systems (ATS) to filter candidate pools prior to human review </w:t>
      </w:r>
      <w:r>
        <w:rPr>
          <w:color w:val="323296"/>
        </w:rPr>
        <w:t>[ref6, ref7]</w:t>
      </w:r>
      <w:r>
        <w:t>.</w:t>
      </w:r>
    </w:p>
    <w:p>
      <w:pPr>
        <w:spacing w:line="360" w:lineRule="auto" w:after="120"/>
      </w:pPr>
      <w:r>
        <w:t xml:space="preserve">Traditional ATS architectures evaluate resumes through deterministic string matching, regular expressions, or basic term frequency heuristics (e.g., TF-IDF) </w:t>
      </w:r>
      <w:r>
        <w:rPr>
          <w:color w:val="323296"/>
        </w:rPr>
        <w:t>[ref1, ref8]</w:t>
      </w:r>
      <w:r>
        <w:t xml:space="preserve">. While effective at reducing applicant volume, keyword-centric screening introduces severe systemic vulnerabilities </w:t>
      </w:r>
      <w:r>
        <w:rPr>
          <w:color w:val="323296"/>
        </w:rPr>
        <w:t>[ref9]</w:t>
      </w:r>
      <w:r>
        <w:t xml:space="preserve">. Candidates who manipulate their resumes by stuffing technical keywords, listing extensive technology stacks, or embedding invisible text blocks can easily bypass initial automated filters </w:t>
      </w:r>
      <w:r>
        <w:rPr>
          <w:color w:val="323296"/>
        </w:rPr>
        <w:t>[ref10]</w:t>
      </w:r>
      <w:r>
        <w:t xml:space="preserve">. Conversely, highly qualified software engineers who describe their project accomplishments using domain-specific synonyms or architectural descriptions without explicitly repeating buzzwords are frequently misclassified and rejected </w:t>
      </w:r>
      <w:r>
        <w:rPr>
          <w:color w:val="323296"/>
        </w:rPr>
        <w:t>[ref11, ref12]</w:t>
      </w:r>
      <w:r>
        <w:t>.</w:t>
      </w:r>
    </w:p>
    <w:p>
      <w:pPr>
        <w:spacing w:line="360" w:lineRule="auto" w:after="120"/>
      </w:pPr>
      <w:r>
        <w:t xml:space="preserve">This fundamental reliance on keyword matching has created strong financial and professional incentives for candidate skill exaggeration and resume inflation </w:t>
      </w:r>
      <w:r>
        <w:rPr>
          <w:color w:val="323296"/>
        </w:rPr>
        <w:t>[ref9, ref13]</w:t>
      </w:r>
      <w:r>
        <w:t xml:space="preserve">. Recent empirical studies in technical recruitment indicate that up to 70% of software engineering resumes contain exaggerated or unsubstantiated skill claims </w:t>
      </w:r>
      <w:r>
        <w:rPr>
          <w:color w:val="323296"/>
        </w:rPr>
        <w:t>[ref10, ref14]</w:t>
      </w:r>
      <w:r>
        <w:t xml:space="preserve">. These misrepresentations range from minor exaggerations of framework proficiency—such as declaring expertise in a library after completing a brief online tutorial—to outright fabrication of programming language experience and project contributions </w:t>
      </w:r>
      <w:r>
        <w:rPr>
          <w:color w:val="323296"/>
        </w:rPr>
        <w:t>[ref15, ref16]</w:t>
      </w:r>
      <w:r>
        <w:t xml:space="preserve">. The rapid proliferation of commercial Generative Artificial Intelligence (AI) tools, such as ChatGPT and specialized resume builders, has further amplified this challenge </w:t>
      </w:r>
      <w:r>
        <w:rPr>
          <w:color w:val="323296"/>
        </w:rPr>
        <w:t>[ref17, ref18]</w:t>
      </w:r>
      <w:r>
        <w:t xml:space="preserve">. Applicants can now instantly generate keyword-optimized, tailored resumes designed specifically to score high on ATS algorithms without possessing the underlying implementation capabilities </w:t>
      </w:r>
      <w:r>
        <w:rPr>
          <w:color w:val="323296"/>
        </w:rPr>
        <w:t>[ref5, ref19]</w:t>
      </w:r>
      <w:r>
        <w:t>.</w:t>
      </w:r>
    </w:p>
    <w:p>
      <w:pPr>
        <w:spacing w:line="360" w:lineRule="auto" w:after="120"/>
      </w:pPr>
      <w:r>
        <w:t xml:space="preserve">Consequently, organizations incur substantial financial, operational, and cultural costs associated with evaluating unqualified candidates </w:t>
      </w:r>
      <w:r>
        <w:rPr>
          <w:color w:val="323296"/>
        </w:rPr>
        <w:t>[ref20]</w:t>
      </w:r>
      <w:r>
        <w:t xml:space="preserve">. Technical interview panels—typically composed of senior software engineers and engineering managers—must spend valuable development hours conducting technical assessments, take-home code reviews, and live coding interviews for candidates whose actual skills fall far short of their resume claims </w:t>
      </w:r>
      <w:r>
        <w:rPr>
          <w:color w:val="323296"/>
        </w:rPr>
        <w:t>[ref4, ref21]</w:t>
      </w:r>
      <w:r>
        <w:t xml:space="preserve">. When unverified hiring decisions occur, companies face project delays, code quality degradation, increased onboarding overhead, and premature employee turnover </w:t>
      </w:r>
      <w:r>
        <w:rPr>
          <w:color w:val="323296"/>
        </w:rPr>
        <w:t>[ref14, ref22]</w:t>
      </w:r>
      <w:r>
        <w:t xml:space="preserve">. Verifying claimed technical skills empirically before committing engineering bandwidth to technical interview panels represents a critical operational requirement for modern hiring pipelines </w:t>
      </w:r>
      <w:r>
        <w:rPr>
          <w:color w:val="323296"/>
        </w:rPr>
        <w:t>[ref12, ref23]</w:t>
      </w:r>
      <w:r>
        <w:t>.</w:t>
      </w:r>
    </w:p>
    <w:p>
      <w:pPr>
        <w:keepNext/>
        <w:spacing w:before="280" w:after="120"/>
      </w:pPr>
      <w:r>
        <w:rPr>
          <w:rFonts w:ascii="Bookman Old Style" w:hAnsi="Bookman Old Style"/>
          <w:b/>
          <w:color w:val="000000"/>
          <w:sz w:val="28"/>
        </w:rPr>
        <w:t>The Problem of Resume Fraud in Technical Hiring</w:t>
      </w:r>
    </w:p>
    <w:p>
      <w:pPr>
        <w:spacing w:line="360" w:lineRule="auto" w:after="120"/>
      </w:pPr>
      <w:r>
        <w:t xml:space="preserve">Resume fraud and skill inflation in technical hiring span multiple levels of severity, each posing distinct challenges for talent acquisition teams </w:t>
      </w:r>
      <w:r>
        <w:rPr>
          <w:color w:val="323296"/>
        </w:rPr>
        <w:t>[ref9, ref10]</w:t>
      </w:r>
      <w:r>
        <w:t>:</w:t>
      </w:r>
    </w:p>
    <w:p>
      <w:pPr>
        <w:spacing w:line="360" w:lineRule="auto" w:after="120"/>
      </w:pPr>
      <w:r>
        <w:t xml:space="preserve">• </w:t>
      </w:r>
      <w:r>
        <w:rPr>
          <w:b/>
        </w:rPr>
        <w:t>Superficial Technology Listing:</w:t>
      </w:r>
      <w:r>
        <w:t xml:space="preserve"> Candidates routinely list frameworks, database engines, and cloud platforms after minimal exposure, such as cloning a starter repository or reading documentation, creating a severe disconnect between claimed proficiency and production capability </w:t>
      </w:r>
      <w:r>
        <w:rPr>
          <w:color w:val="323296"/>
        </w:rPr>
        <w:t>[ref11, ref12]</w:t>
      </w:r>
      <w:r>
        <w:t>.</w:t>
      </w:r>
    </w:p>
    <w:p>
      <w:pPr>
        <w:spacing w:line="360" w:lineRule="auto" w:after="120"/>
      </w:pPr>
      <w:r>
        <w:t xml:space="preserve">• </w:t>
      </w:r>
      <w:r>
        <w:rPr>
          <w:b/>
        </w:rPr>
        <w:t>Role and Contribution Inflation:</w:t>
      </w:r>
      <w:r>
        <w:t xml:space="preserve"> In collaborative open-source or team projects, candidates frequently claim full architectural ownership of complex software modules when their actual contribution was limited to minor bug fixes or documentation edits </w:t>
      </w:r>
      <w:r>
        <w:rPr>
          <w:color w:val="323296"/>
        </w:rPr>
        <w:t>[ref15, ref16, ref24]</w:t>
      </w:r>
      <w:r>
        <w:t>.</w:t>
      </w:r>
    </w:p>
    <w:p>
      <w:pPr>
        <w:spacing w:line="360" w:lineRule="auto" w:after="120"/>
      </w:pPr>
      <w:r>
        <w:t xml:space="preserve">• </w:t>
      </w:r>
      <w:r>
        <w:rPr>
          <w:b/>
        </w:rPr>
        <w:t>Generative Resume Fabrication:</w:t>
      </w:r>
      <w:r>
        <w:t xml:space="preserve"> Leveraging LLMs to synthesize realistic project descriptions populated with advanced industry jargon, making fabricated experience indistinguishable from genuine project work during initial textual screening </w:t>
      </w:r>
      <w:r>
        <w:rPr>
          <w:color w:val="323296"/>
        </w:rPr>
        <w:t>[ref5, ref17]</w:t>
      </w:r>
      <w:r>
        <w:t>.</w:t>
      </w:r>
    </w:p>
    <w:p>
      <w:pPr>
        <w:spacing w:line="360" w:lineRule="auto" w:after="120"/>
      </w:pPr>
      <w:r>
        <w:t xml:space="preserve">Traditional verification mechanisms attempt to combat these issues through manual code reviews, take-home programming assignments, or live algorithmic coding platforms </w:t>
      </w:r>
      <w:r>
        <w:rPr>
          <w:color w:val="323296"/>
        </w:rPr>
        <w:t>[ref4, ref15]</w:t>
      </w:r>
      <w:r>
        <w:t xml:space="preserve">. However, each of these conventional approaches introduces substantial recruiter friction, candidate drop-off, or evaluation misalignment </w:t>
      </w:r>
      <w:r>
        <w:rPr>
          <w:color w:val="323296"/>
        </w:rPr>
        <w:t>[ref21]</w:t>
      </w:r>
      <w:r>
        <w:t xml:space="preserve">. Take-home projects require significant candidate time investment (often 5 to 15 hours), leading experienced senior engineers to drop out of recruitment funnels. Furthermore, scoring take-home projects requires dedicated engineering bandwidth, limiting scalability </w:t>
      </w:r>
      <w:r>
        <w:rPr>
          <w:color w:val="323296"/>
        </w:rPr>
        <w:t>[ref16, ref25]</w:t>
      </w:r>
      <w:r>
        <w:t>.</w:t>
      </w:r>
    </w:p>
    <w:p>
      <w:pPr>
        <w:spacing w:line="360" w:lineRule="auto" w:after="120"/>
      </w:pPr>
      <w:r>
        <w:t xml:space="preserve">Conversely, automated competitive coding platforms measure algorithmic problem-solving under artificial time constraints in isolated sandbox environments </w:t>
      </w:r>
      <w:r>
        <w:rPr>
          <w:color w:val="323296"/>
        </w:rPr>
        <w:t>[ref15]</w:t>
      </w:r>
      <w:r>
        <w:t xml:space="preserve">. While useful for assessing basic data structures and algorithms, competitive coding tests fail to evaluate real-world software engineering competencies, such as framework integration, repository organization, database schema design, asynchronous API handling, continuous integration workflows, and long-term codebase maintenance </w:t>
      </w:r>
      <w:r>
        <w:rPr>
          <w:color w:val="323296"/>
        </w:rPr>
        <w:t>[ref3, ref26]</w:t>
      </w:r>
      <w:r>
        <w:t xml:space="preserve">. A candidate may excel at reversing a binary tree on a competitive platform while lacking the practical skill to construct a RESTful API in Node.js or configure a Dockerized deployment pipeline </w:t>
      </w:r>
      <w:r>
        <w:rPr>
          <w:color w:val="323296"/>
        </w:rPr>
        <w:t>[ref27, ref28]</w:t>
      </w:r>
      <w:r>
        <w:t>.</w:t>
      </w:r>
    </w:p>
    <w:p>
      <w:pPr>
        <w:keepNext/>
        <w:spacing w:before="280" w:after="120"/>
      </w:pPr>
      <w:r>
        <w:rPr>
          <w:rFonts w:ascii="Bookman Old Style" w:hAnsi="Bookman Old Style"/>
          <w:b/>
          <w:color w:val="000000"/>
          <w:sz w:val="28"/>
        </w:rPr>
        <w:t>Limitations of Existing Automated Approaches</w:t>
      </w:r>
    </w:p>
    <w:p>
      <w:pPr>
        <w:spacing w:line="360" w:lineRule="auto" w:after="120"/>
      </w:pPr>
      <w:r>
        <w:t xml:space="preserve">Recent research in Natural Language Processing (NLP) and Artificial Intelligence has explored automated resume screening and candidate evaluation </w:t>
      </w:r>
      <w:r>
        <w:rPr>
          <w:color w:val="323296"/>
        </w:rPr>
        <w:t>[ref1, ref11, ref23]</w:t>
      </w:r>
      <w:r>
        <w:t>. However, current state-of-the-art technologies exhibit four fundamental structural limitations:</w:t>
      </w:r>
    </w:p>
    <w:p>
      <w:pPr>
        <w:spacing w:line="360" w:lineRule="auto" w:after="120"/>
      </w:pPr>
      <w:r>
        <w:t xml:space="preserve">• </w:t>
      </w:r>
      <w:r>
        <w:rPr>
          <w:b/>
        </w:rPr>
        <w:t>Keyword Matching without Verification:</w:t>
      </w:r>
      <w:r>
        <w:t xml:space="preserve"> Traditional ATS platforms score resumes based on keyword frequency, rewarding candidates who overload their resumes with technical terms regardless of actual codebase evidence </w:t>
      </w:r>
      <w:r>
        <w:rPr>
          <w:color w:val="323296"/>
        </w:rPr>
        <w:t>[ref1, ref8]</w:t>
      </w:r>
      <w:r>
        <w:t>.</w:t>
      </w:r>
    </w:p>
    <w:p>
      <w:pPr>
        <w:spacing w:line="360" w:lineRule="auto" w:after="120"/>
      </w:pPr>
      <w:r>
        <w:t xml:space="preserve">• </w:t>
      </w:r>
      <w:r>
        <w:rPr>
          <w:b/>
        </w:rPr>
        <w:t>Monolithic LLM Scoring Risks:</w:t>
      </w:r>
      <w:r>
        <w:t xml:space="preserve"> Recent LLM-based resume screeners prompt a single model to score resume quality. These approaches are prone to hallucination, subjective scoring variance, and an inability to inspect external evidence </w:t>
      </w:r>
      <w:r>
        <w:rPr>
          <w:color w:val="323296"/>
        </w:rPr>
        <w:t>[ref20, ref17, ref29]</w:t>
      </w:r>
      <w:r>
        <w:t>.</w:t>
      </w:r>
    </w:p>
    <w:p>
      <w:pPr>
        <w:spacing w:line="360" w:lineRule="auto" w:after="120"/>
      </w:pPr>
      <w:r>
        <w:t xml:space="preserve">• </w:t>
      </w:r>
      <w:r>
        <w:rPr>
          <w:b/>
        </w:rPr>
        <w:t>Lack of Codebase Grounding:</w:t>
      </w:r>
      <w:r>
        <w:t xml:space="preserve"> Existing systems evaluate resumes in isolation as self-contained textual documents, without cross-referencing claims against external artifacts such as public software repositories </w:t>
      </w:r>
      <w:r>
        <w:rPr>
          <w:color w:val="323296"/>
        </w:rPr>
        <w:t>[ref30, ref31, ref32]</w:t>
      </w:r>
      <w:r>
        <w:t>.</w:t>
      </w:r>
    </w:p>
    <w:p>
      <w:pPr>
        <w:spacing w:line="360" w:lineRule="auto" w:after="120"/>
      </w:pPr>
      <w:r>
        <w:t xml:space="preserve">• </w:t>
      </w:r>
      <w:r>
        <w:rPr>
          <w:b/>
        </w:rPr>
        <w:t>Absence of Multi-Tenant Data Isolation:</w:t>
      </w:r>
      <w:r>
        <w:t xml:space="preserve"> Automated scoring platforms frequently lack candidate data segregation mechanisms, creating risks of cross-candidate data contamination during vector retrieval </w:t>
      </w:r>
      <w:r>
        <w:rPr>
          <w:color w:val="323296"/>
        </w:rPr>
        <w:t>[ref33, ref34]</w:t>
      </w:r>
      <w:r>
        <w:t>.</w:t>
      </w:r>
    </w:p>
    <w:p>
      <w:pPr>
        <w:spacing w:line="360" w:lineRule="auto" w:after="120"/>
      </w:pPr>
      <w:r>
        <w:t xml:space="preserve">Bridging this gap requires an automated system capable of extracting claimed technical skills from resumes and cross-referencing those claims against concrete, functional source code evidence stored in public version control repositories </w:t>
      </w:r>
      <w:r>
        <w:rPr>
          <w:color w:val="323296"/>
        </w:rPr>
        <w:t>[ref12, ref7, ref35]</w:t>
      </w:r>
      <w:r>
        <w:t>.</w:t>
      </w:r>
    </w:p>
    <w:p>
      <w:pPr>
        <w:keepNext/>
        <w:spacing w:before="280" w:after="120"/>
      </w:pPr>
      <w:r>
        <w:rPr>
          <w:rFonts w:ascii="Bookman Old Style" w:hAnsi="Bookman Old Style"/>
          <w:b/>
          <w:color w:val="000000"/>
          <w:sz w:val="28"/>
        </w:rPr>
        <w:t>Motivation for the Study</w:t>
      </w:r>
    </w:p>
    <w:p>
      <w:pPr>
        <w:spacing w:line="360" w:lineRule="auto" w:after="120"/>
      </w:pPr>
      <w:r>
        <w:t xml:space="preserve">Public software repositories on platforms like GitHub provide a rich, empirical record of a candidate's actual software engineering contributions </w:t>
      </w:r>
      <w:r>
        <w:rPr>
          <w:color w:val="323296"/>
        </w:rPr>
        <w:t>[ref15, ref16, ref24]</w:t>
      </w:r>
      <w:r>
        <w:t xml:space="preserve">. Public repositories contain source code files, commit histories, configuration files, directory structures, and project architectures that reflect real-world implementation experience </w:t>
      </w:r>
      <w:r>
        <w:rPr>
          <w:color w:val="323296"/>
        </w:rPr>
        <w:t>[ref6, ref25]</w:t>
      </w:r>
      <w:r>
        <w:t xml:space="preserve">. However, manually inspecting candidate repositories is labor-intensive, requiring senior engineers to clone projects, parse directory structures, evaluate code quality across multiple programming languages, and check dependency manifests </w:t>
      </w:r>
      <w:r>
        <w:rPr>
          <w:color w:val="323296"/>
        </w:rPr>
        <w:t>[ref25, ref26, ref36]</w:t>
      </w:r>
      <w:r>
        <w:t>.</w:t>
      </w:r>
    </w:p>
    <w:p>
      <w:pPr>
        <w:spacing w:line="360" w:lineRule="auto" w:after="120"/>
      </w:pPr>
      <w:r>
        <w:t xml:space="preserve">Advances in Multi-Agent Large Language Model (LLM) orchestration and Retrieval-Augmented Generation (RAG) offer a promising foundation for automating code-level claim verification </w:t>
      </w:r>
      <w:r>
        <w:rPr>
          <w:color w:val="323296"/>
        </w:rPr>
        <w:t>[ref30, ref37, ref38]</w:t>
      </w:r>
      <w:r>
        <w:t xml:space="preserve">. By decomposing the verification workflow into specialized autonomous agents—dedicated to claim extraction, repository ingestion, semantic vector indexing, and evidence-grounded judgment—technical skill claims can be evaluated objectively against actual source code evidence </w:t>
      </w:r>
      <w:r>
        <w:rPr>
          <w:color w:val="323296"/>
        </w:rPr>
        <w:t>[ref10, ref27, ref33, ref39]</w:t>
      </w:r>
      <w:r>
        <w:t>.</w:t>
      </w:r>
    </w:p>
    <w:p>
      <w:pPr>
        <w:keepNext/>
        <w:spacing w:before="280" w:after="120"/>
      </w:pPr>
      <w:r>
        <w:rPr>
          <w:rFonts w:ascii="Bookman Old Style" w:hAnsi="Bookman Old Style"/>
          <w:b/>
          <w:color w:val="000000"/>
          <w:sz w:val="28"/>
        </w:rPr>
        <w:t>Problem Statement</w:t>
      </w:r>
    </w:p>
    <w:p>
      <w:pPr>
        <w:spacing w:line="360" w:lineRule="auto" w:after="120"/>
      </w:pPr>
      <w:r>
        <w:t>Formally, given a candidate's PDF resume $R$ containing a set of claimed technical skills $S = \{s_1, s_2, \dots, s_n\}$ and a public GitHub profile handle $G$ associated with a set of repositories $V = \{v_1, v_2, \dots, v_m\}$, the objective is to construct an automated multi-agent system that evaluates each skill claim $s_i \in S$ against the ingested codebase evidence $V$, producing a verified verdict $Y_i \in \{\text{Verified}, \text{Unsubstantiated}\}$ accompanied by an evidence-grounded explanatory rationale $E_i$.</w:t>
      </w:r>
    </w:p>
    <w:p>
      <w:pPr>
        <w:spacing w:line="360" w:lineRule="auto" w:after="120"/>
      </w:pPr>
      <w:r>
        <w:t>Addressing this problem requires solving four key sub-challenges:</w:t>
      </w:r>
    </w:p>
    <w:p>
      <w:pPr>
        <w:spacing w:line="360" w:lineRule="auto" w:after="120"/>
      </w:pPr>
      <w:r>
        <w:t xml:space="preserve">• </w:t>
      </w:r>
      <w:r>
        <w:rPr>
          <w:b/>
        </w:rPr>
        <w:t>Claim Extraction:</w:t>
      </w:r>
      <w:r>
        <w:t xml:space="preserve"> Accurately parsing PDF resume structures to extract distinct technical skills while filtering non-technical context </w:t>
      </w:r>
      <w:r>
        <w:rPr>
          <w:color w:val="323296"/>
        </w:rPr>
        <w:t>[ref9, ref40]</w:t>
      </w:r>
      <w:r>
        <w:t>.</w:t>
      </w:r>
    </w:p>
    <w:p>
      <w:pPr>
        <w:spacing w:line="360" w:lineRule="auto" w:after="120"/>
      </w:pPr>
      <w:r>
        <w:t xml:space="preserve">• </w:t>
      </w:r>
      <w:r>
        <w:rPr>
          <w:b/>
        </w:rPr>
        <w:t>Code Ingestion \&amp; Preprocessing:</w:t>
      </w:r>
      <w:r>
        <w:t xml:space="preserve"> Asynchronously ingesting multi-language source code files while filtering non-informative configuration metadata and auto-generated code </w:t>
      </w:r>
      <w:r>
        <w:rPr>
          <w:color w:val="323296"/>
        </w:rPr>
        <w:t>[ref12, ref35]</w:t>
      </w:r>
      <w:r>
        <w:t>.</w:t>
      </w:r>
    </w:p>
    <w:p>
      <w:pPr>
        <w:spacing w:line="360" w:lineRule="auto" w:after="120"/>
      </w:pPr>
      <w:r>
        <w:t xml:space="preserve">• </w:t>
      </w:r>
      <w:r>
        <w:rPr>
          <w:b/>
        </w:rPr>
        <w:t>Semantic Indexing \&amp; Isolation:</w:t>
      </w:r>
      <w:r>
        <w:t xml:space="preserve"> Vectorizing code chunks into a unified semantic space while enforcing strict multi-tenant candidate data isolation </w:t>
      </w:r>
      <w:r>
        <w:rPr>
          <w:color w:val="323296"/>
        </w:rPr>
        <w:t>[ref31, ref33, ref41]</w:t>
      </w:r>
      <w:r>
        <w:t>.</w:t>
      </w:r>
    </w:p>
    <w:p>
      <w:pPr>
        <w:spacing w:line="360" w:lineRule="auto" w:after="120"/>
      </w:pPr>
      <w:r>
        <w:t xml:space="preserve">• </w:t>
      </w:r>
      <w:r>
        <w:rPr>
          <w:b/>
        </w:rPr>
        <w:t>Evidence-Grounded Judgment:</w:t>
      </w:r>
      <w:r>
        <w:t xml:space="preserve"> Retrieving relevant code contexts to perform chain-of-thought reasoning, eliminating LLM hallucination during verification </w:t>
      </w:r>
      <w:r>
        <w:rPr>
          <w:color w:val="323296"/>
        </w:rPr>
        <w:t>[ref10, ref11, ref25, ref42]</w:t>
      </w:r>
      <w:r>
        <w:t>.</w:t>
      </w:r>
    </w:p>
    <w:p>
      <w:pPr>
        <w:keepNext/>
        <w:spacing w:before="280" w:after="120"/>
      </w:pPr>
      <w:r>
        <w:rPr>
          <w:rFonts w:ascii="Bookman Old Style" w:hAnsi="Bookman Old Style"/>
          <w:b/>
          <w:color w:val="000000"/>
          <w:sz w:val="28"/>
        </w:rPr>
        <w:t>Objectives of the Project</w:t>
      </w:r>
    </w:p>
    <w:p>
      <w:pPr>
        <w:spacing w:line="360" w:lineRule="auto" w:after="120"/>
      </w:pPr>
      <w:r>
        <w:t xml:space="preserve">The primary goal of this project is to design, implement, and evaluate </w:t>
      </w:r>
      <w:r>
        <w:rPr>
          <w:b/>
        </w:rPr>
        <w:t>CodeAudit AI</w:t>
      </w:r>
      <w:r>
        <w:t>, a multi-agent LLM framework for authenticating technical resume claims via semantic codebase vectorization. The specific objectives are:</w:t>
      </w:r>
    </w:p>
    <w:p>
      <w:pPr>
        <w:spacing w:line="360" w:lineRule="auto" w:after="120"/>
      </w:pPr>
      <w:r>
        <w:t xml:space="preserve">• To design a 4-phase modular multi-agent pipeline comprising Claim Extraction, Code Ingestion, RAG Indexing, and LLM Judgment agents </w:t>
      </w:r>
      <w:r>
        <w:rPr>
          <w:color w:val="323296"/>
        </w:rPr>
        <w:t>[ref10, ref7, ref37, ref38, ref43]</w:t>
      </w:r>
      <w:r>
        <w:t>.</w:t>
      </w:r>
    </w:p>
    <w:p>
      <w:pPr>
        <w:spacing w:line="360" w:lineRule="auto" w:after="120"/>
      </w:pPr>
      <w:r>
        <w:t xml:space="preserve">• To implement a PDF claim extraction engine using PyMuPDF and regular expression boundary matching for 17 technical skill categories </w:t>
      </w:r>
      <w:r>
        <w:rPr>
          <w:color w:val="323296"/>
        </w:rPr>
        <w:t>[ref40]</w:t>
      </w:r>
      <w:r>
        <w:t>.</w:t>
      </w:r>
    </w:p>
    <w:p>
      <w:pPr>
        <w:spacing w:line="360" w:lineRule="auto" w:after="120"/>
      </w:pPr>
      <w:r>
        <w:t xml:space="preserve">• To build an asynchronous repository ingestion module utilizing the GitHub REST API v3 and aiohttp for multi-language source code retrieval </w:t>
      </w:r>
      <w:r>
        <w:rPr>
          <w:color w:val="323296"/>
        </w:rPr>
        <w:t>[ref12, ref35]</w:t>
      </w:r>
      <w:r>
        <w:t>.</w:t>
      </w:r>
    </w:p>
    <w:p>
      <w:pPr>
        <w:spacing w:line="360" w:lineRule="auto" w:after="120"/>
      </w:pPr>
      <w:r>
        <w:t xml:space="preserve">• To construct a local vector indexing pipeline using sentence-transformers (all-MiniLM-L6-v2) embeddings and ChromaDB for metadata-isolated vector storage </w:t>
      </w:r>
      <w:r>
        <w:rPr>
          <w:color w:val="323296"/>
        </w:rPr>
        <w:t>[ref31, ref33, ref41]</w:t>
      </w:r>
      <w:r>
        <w:t>.</w:t>
      </w:r>
    </w:p>
    <w:p>
      <w:pPr>
        <w:spacing w:line="360" w:lineRule="auto" w:after="120"/>
      </w:pPr>
      <w:r>
        <w:t xml:space="preserve">• To formulate a Chain-of-Thought (CoT) prompt template for an LLM Judge Agent to evaluate retrieved code chunks and generate deterministic verdicts </w:t>
      </w:r>
      <w:r>
        <w:rPr>
          <w:color w:val="323296"/>
        </w:rPr>
        <w:t>[ref10, ref11, ref25, ref42]</w:t>
      </w:r>
      <w:r>
        <w:t>.</w:t>
      </w:r>
    </w:p>
    <w:p>
      <w:pPr>
        <w:spacing w:line="360" w:lineRule="auto" w:after="120"/>
      </w:pPr>
      <w:r>
        <w:t xml:space="preserve">• To construct a 30-case benchmark dataset across 5 technical categories and conduct ablation studies to quantify system accuracy, precision, recall, F1-score, and specificity </w:t>
      </w:r>
      <w:r>
        <w:rPr>
          <w:color w:val="323296"/>
        </w:rPr>
        <w:t>[ref20, ref8, ref23]</w:t>
      </w:r>
      <w:r>
        <w:t>.</w:t>
      </w:r>
    </w:p>
    <w:p>
      <w:pPr>
        <w:keepNext/>
        <w:spacing w:before="280" w:after="120"/>
      </w:pPr>
      <w:r>
        <w:rPr>
          <w:rFonts w:ascii="Bookman Old Style" w:hAnsi="Bookman Old Style"/>
          <w:b/>
          <w:color w:val="000000"/>
          <w:sz w:val="28"/>
        </w:rPr>
        <w:t>Scope of the Project</w:t>
      </w:r>
    </w:p>
    <w:p>
      <w:pPr>
        <w:spacing w:line="360" w:lineRule="auto" w:after="120"/>
      </w:pPr>
      <w:r>
        <w:t>The scope of CodeAudit AI focuses on validating claimed technical skills against public GitHub source code repositories. The system supports 17 technical keywords across programming languages (Python, JavaScript, Java, C++), web frameworks (React, Angular, Django, Flask, Node.js), machine learning libraries (TensorFlow, PyTorch, Scikit-learn), database engines (SQL, MongoDB, PostgreSQL), and DevOps tools (Docker, Kubernetes, Git). Source code ingestion is restricted to public GitHub repositories under a 100KB per-file size cap to prevent resource exhaustion from large binary blobs or auto-generated lockfiles.</w:t>
      </w:r>
    </w:p>
    <w:p>
      <w:pPr>
        <w:spacing w:line="360" w:lineRule="auto" w:after="120"/>
      </w:pPr>
      <w:r>
        <w:t>The project excludes private repositories requiring organization-level credentials, employment duration verification, soft skills evaluation, and direct automated code refactoring. The system is designed as an objective, empirical pre-screening tool to assist human recruiters and technical interviewers.</w:t>
      </w:r>
    </w:p>
    <w:p>
      <w:pPr>
        <w:keepNext/>
        <w:spacing w:before="280" w:after="120"/>
      </w:pPr>
      <w:r>
        <w:rPr>
          <w:rFonts w:ascii="Bookman Old Style" w:hAnsi="Bookman Old Style"/>
          <w:b/>
          <w:color w:val="000000"/>
          <w:sz w:val="28"/>
        </w:rPr>
        <w:t>Organization of the Report</w:t>
      </w:r>
    </w:p>
    <w:p>
      <w:pPr>
        <w:spacing w:line="360" w:lineRule="auto" w:after="120"/>
      </w:pPr>
      <w:r>
        <w:t>This report is organized into five comprehensive chapters:</w:t>
      </w:r>
    </w:p>
    <w:p>
      <w:pPr>
        <w:spacing w:line="360" w:lineRule="auto" w:after="120"/>
      </w:pPr>
      <w:r>
        <w:t xml:space="preserve">• </w:t>
      </w:r>
      <w:r>
        <w:rPr>
          <w:b/>
        </w:rPr>
        <w:t>Introduction:</w:t>
      </w:r>
      <w:r>
        <w:t xml:space="preserve"> Outlines the background, problem domain, motivation, formal problem statement, project objectives, scope, and organization.</w:t>
      </w:r>
    </w:p>
    <w:p>
      <w:pPr>
        <w:spacing w:line="360" w:lineRule="auto" w:after="120"/>
      </w:pPr>
      <w:r>
        <w:t xml:space="preserve">• </w:t>
      </w:r>
      <w:r>
        <w:rPr>
          <w:b/>
        </w:rPr>
        <w:t>Literature Review:</w:t>
      </w:r>
      <w:r>
        <w:t xml:space="preserve"> Reviews prior work in automated resume screening, RAG architectures, sentence embeddings, code LLMs, multi-agent frameworks, and ethical AI hiring.</w:t>
      </w:r>
    </w:p>
    <w:p>
      <w:pPr>
        <w:spacing w:line="360" w:lineRule="auto" w:after="120"/>
      </w:pPr>
      <w:r>
        <w:t xml:space="preserve">• </w:t>
      </w:r>
      <w:r>
        <w:rPr>
          <w:b/>
        </w:rPr>
        <w:t>Proposed Methodology:</w:t>
      </w:r>
      <w:r>
        <w:t xml:space="preserve"> Details the 4-phase system architecture, agent workflows, vector indexing, evaluation metrics equations, technology stack, and Streamlit deployment.</w:t>
      </w:r>
    </w:p>
    <w:p>
      <w:pPr>
        <w:spacing w:line="360" w:lineRule="auto" w:after="120"/>
      </w:pPr>
      <w:r>
        <w:t xml:space="preserve">• </w:t>
      </w:r>
      <w:r>
        <w:rPr>
          <w:b/>
        </w:rPr>
        <w:t>Results and Discussion:</w:t>
      </w:r>
      <w:r>
        <w:t xml:space="preserve"> Presents experimental setup, benchmark dataset, ablation study findings, category-wise performance, error analysis, latency evaluations, and threats to validity.</w:t>
      </w:r>
    </w:p>
    <w:p>
      <w:pPr>
        <w:spacing w:line="360" w:lineRule="auto" w:after="120"/>
      </w:pPr>
      <w:r>
        <w:t xml:space="preserve">• </w:t>
      </w:r>
      <w:r>
        <w:rPr>
          <w:b/>
        </w:rPr>
        <w:t>Conclusion and Future Scope:</w:t>
      </w:r>
      <w:r>
        <w:t xml:space="preserve"> Summarizes key contributions, system limitations, future research directions, ethical implications, and concluding remarks.</w:t>
      </w:r>
    </w:p>
    <w:p>
      <w:r>
        <w:br w:type="page"/>
      </w:r>
    </w:p>
    <w:p>
      <w:pPr>
        <w:keepNext/>
        <w:spacing w:before="360" w:after="160"/>
      </w:pPr>
      <w:r>
        <w:rPr>
          <w:rFonts w:ascii="Bookman Old Style" w:hAnsi="Bookman Old Style"/>
          <w:b/>
          <w:color w:val="000000"/>
          <w:sz w:val="32"/>
        </w:rPr>
        <w:t>LITERATURE REVIEW</w:t>
      </w:r>
    </w:p>
    <w:p>
      <w:pPr>
        <w:keepNext/>
        <w:spacing w:before="280" w:after="120"/>
      </w:pPr>
      <w:r>
        <w:rPr>
          <w:rFonts w:ascii="Bookman Old Style" w:hAnsi="Bookman Old Style"/>
          <w:b/>
          <w:color w:val="000000"/>
          <w:sz w:val="28"/>
        </w:rPr>
        <w:t>Introduction to the Literature Review</w:t>
      </w:r>
    </w:p>
    <w:p>
      <w:pPr>
        <w:spacing w:line="360" w:lineRule="auto" w:after="120"/>
      </w:pPr>
      <w:r>
        <w:t xml:space="preserve">The literature surrounding AI-driven recruitment, retrieval-augmented generation (RAG), vector representations, code language models, and multi-agent orchestration spans multiple distinct domains within computer science, natural language processing (NLP), and empirical software engineering </w:t>
      </w:r>
      <w:r>
        <w:rPr>
          <w:color w:val="323296"/>
        </w:rPr>
        <w:t>[ref1, ref4, ref33, ref44]</w:t>
      </w:r>
      <w:r>
        <w:t xml:space="preserve">. As artificial intelligence becomes deeply embedded in enterprise recruitment workflows, understanding the historical progression, theoretical foundations, and operational vulnerabilities of candidate evaluation systems is essential for developing robust credential authentication frameworks </w:t>
      </w:r>
      <w:r>
        <w:rPr>
          <w:color w:val="323296"/>
        </w:rPr>
        <w:t>[ref2, ref3, ref23]</w:t>
      </w:r>
      <w:r>
        <w:t>.</w:t>
      </w:r>
    </w:p>
    <w:p>
      <w:pPr>
        <w:spacing w:line="360" w:lineRule="auto" w:after="120"/>
      </w:pPr>
      <w:r>
        <w:t>This chapter synthesizes foundational literature across six key research areas:</w:t>
      </w:r>
    </w:p>
    <w:p>
      <w:pPr>
        <w:spacing w:line="360" w:lineRule="auto" w:after="120"/>
      </w:pPr>
      <w:r>
        <w:t xml:space="preserve">• </w:t>
      </w:r>
      <w:r>
        <w:rPr>
          <w:b/>
        </w:rPr>
        <w:t>AI-Driven Resume Screening Systems:</w:t>
      </w:r>
      <w:r>
        <w:t xml:space="preserve"> Examining the evolution from deterministic keyword matching and classic machine learning classifiers (SVMs, Naive Bayes) to transformer-based entity extraction and scoring </w:t>
      </w:r>
      <w:r>
        <w:rPr>
          <w:color w:val="323296"/>
        </w:rPr>
        <w:t>[ref1, ref9, ref11, ref7, ref8]</w:t>
      </w:r>
      <w:r>
        <w:t>.</w:t>
      </w:r>
    </w:p>
    <w:p>
      <w:pPr>
        <w:spacing w:line="360" w:lineRule="auto" w:after="120"/>
      </w:pPr>
      <w:r>
        <w:t xml:space="preserve">• </w:t>
      </w:r>
      <w:r>
        <w:rPr>
          <w:b/>
        </w:rPr>
        <w:t>Retrieval-Augmented Generation (RAG):</w:t>
      </w:r>
      <w:r>
        <w:t xml:space="preserve"> Analyzing dense knowledge retrieval architectures (DPR, FiD, RETRO, Self-RAG, Active RAG) and their role in mitigating large language model hallucination </w:t>
      </w:r>
      <w:r>
        <w:rPr>
          <w:color w:val="323296"/>
        </w:rPr>
        <w:t>[ref2, ref5, ref30, ref33, ref45, ref46]</w:t>
      </w:r>
      <w:r>
        <w:t>.</w:t>
      </w:r>
    </w:p>
    <w:p>
      <w:pPr>
        <w:spacing w:line="360" w:lineRule="auto" w:after="120"/>
      </w:pPr>
      <w:r>
        <w:t xml:space="preserve">• </w:t>
      </w:r>
      <w:r>
        <w:rPr>
          <w:b/>
        </w:rPr>
        <w:t>Sentence Embeddings and Vector Databases:</w:t>
      </w:r>
      <w:r>
        <w:t xml:space="preserve"> Reviewing dense vector space mapping (Sentence-BERT, Instructor, MTEB, AnglE) and sub-millisecond nearest-neighbor search engines (ChromaDB, Pinecone, HNSW graphs) </w:t>
      </w:r>
      <w:r>
        <w:rPr>
          <w:color w:val="323296"/>
        </w:rPr>
        <w:t>[ref31, ref32, ref47, ref34, ref41, ref48, ref49]</w:t>
      </w:r>
      <w:r>
        <w:t>.</w:t>
      </w:r>
    </w:p>
    <w:p>
      <w:pPr>
        <w:spacing w:line="360" w:lineRule="auto" w:after="120"/>
      </w:pPr>
      <w:r>
        <w:t xml:space="preserve">• </w:t>
      </w:r>
      <w:r>
        <w:rPr>
          <w:b/>
        </w:rPr>
        <w:t>Large Language Models and Code Analysis:</w:t>
      </w:r>
      <w:r>
        <w:t xml:space="preserve"> Surveying general foundation LLMs (GPT-3, GPT-4, LLaMA, Mistral, PaLM, Gemini) and specialized code LLMs (Codex, StarCoder, Code Llama, CodeBERT, UniXcoder, CodeT5+) alongside Chain-of-Thought (CoT) prompting techniques </w:t>
      </w:r>
      <w:r>
        <w:rPr>
          <w:color w:val="323296"/>
        </w:rPr>
        <w:t>[ref9, ref20, ref30, ref16, ref37, ref50, ref51, ref52, ref53, ref17, ref54, ref55, ref56, ref57, ref58, ref42, ref59, ref60]</w:t>
      </w:r>
      <w:r>
        <w:t>.</w:t>
      </w:r>
    </w:p>
    <w:p>
      <w:pPr>
        <w:spacing w:line="360" w:lineRule="auto" w:after="120"/>
      </w:pPr>
      <w:r>
        <w:t xml:space="preserve">• </w:t>
      </w:r>
      <w:r>
        <w:rPr>
          <w:b/>
        </w:rPr>
        <w:t>Multi-Agent LLM Frameworks:</w:t>
      </w:r>
      <w:r>
        <w:t xml:space="preserve"> Investigating autonomous agent coordination paradigms (Generative Agents, AutoGen, CAMEL, MetaGPT, ChatDev) and Standard Operating Procedures (SOPs) </w:t>
      </w:r>
      <w:r>
        <w:rPr>
          <w:color w:val="323296"/>
        </w:rPr>
        <w:t>[ref61, ref62, ref38, ref63, ref43, ref64, ref39]</w:t>
      </w:r>
      <w:r>
        <w:t>.</w:t>
      </w:r>
    </w:p>
    <w:p>
      <w:pPr>
        <w:spacing w:line="360" w:lineRule="auto" w:after="120"/>
      </w:pPr>
      <w:r>
        <w:t xml:space="preserve">• </w:t>
      </w:r>
      <w:r>
        <w:rPr>
          <w:b/>
        </w:rPr>
        <w:t>Empirical Software Engineering \&amp; Ethical AI Hiring:</w:t>
      </w:r>
      <w:r>
        <w:t xml:space="preserve"> Evaluating GitHub repository mining standards, developer contribution metrics, and regulatory compliance frameworks (EU AI Act, UNESCO Recommendations) </w:t>
      </w:r>
      <w:r>
        <w:rPr>
          <w:color w:val="323296"/>
        </w:rPr>
        <w:t>[ref6, ref15, ref25, ref24, ref14, ref26, ref22, ref36, ref65, ref66]</w:t>
      </w:r>
      <w:r>
        <w:t>.</w:t>
      </w:r>
    </w:p>
    <w:p>
      <w:pPr>
        <w:spacing w:line="360" w:lineRule="auto" w:after="120"/>
      </w:pPr>
      <w:r>
        <w:t xml:space="preserve">Finally, research gaps in existing literature are identified, establishing the theoretical and practical foundation for CodeAudit AI </w:t>
      </w:r>
      <w:r>
        <w:rPr>
          <w:color w:val="323296"/>
        </w:rPr>
        <w:t>[ref20, ref23, ref8]</w:t>
      </w:r>
      <w:r>
        <w:t>.</w:t>
      </w:r>
    </w:p>
    <w:p>
      <w:pPr>
        <w:keepNext/>
        <w:spacing w:before="280" w:after="120"/>
      </w:pPr>
      <w:r>
        <w:rPr>
          <w:rFonts w:ascii="Bookman Old Style" w:hAnsi="Bookman Old Style"/>
          <w:b/>
          <w:color w:val="000000"/>
          <w:sz w:val="28"/>
        </w:rPr>
        <w:t>AI-Driven Resume Screening Systems</w:t>
      </w:r>
    </w:p>
    <w:p>
      <w:pPr>
        <w:spacing w:line="360" w:lineRule="auto" w:after="120"/>
      </w:pPr>
      <w:r>
        <w:t xml:space="preserve">Early automated resume screening systems emerged in the late 1990s and early 2000s, driven by the need to manage massive applicant volumes generated by online job portals </w:t>
      </w:r>
      <w:r>
        <w:rPr>
          <w:color w:val="323296"/>
        </w:rPr>
        <w:t>[ref1, ref7]</w:t>
      </w:r>
      <w:r>
        <w:t xml:space="preserve">. These foundational Applicant Tracking Systems (ATS) relied on deterministic regular expressions and keyword frequency counting to rank candidate resumes against job description keywords </w:t>
      </w:r>
      <w:r>
        <w:rPr>
          <w:color w:val="323296"/>
        </w:rPr>
        <w:t>[ref50, ref8]</w:t>
      </w:r>
      <w:r>
        <w:t xml:space="preserve">. Machine learning approaches subsequently introduced supervised learning models—such as Support Vector Machines (SVMs), Naive Bayes classifiers, and Decision Trees—trained on Term Frequency-Inverse Document Frequency (TF-IDF) feature vectors to categorize candidates into predefined suitability brackets </w:t>
      </w:r>
      <w:r>
        <w:rPr>
          <w:color w:val="323296"/>
        </w:rPr>
        <w:t>[ref7, ref13]</w:t>
      </w:r>
      <w:r>
        <w:t>.</w:t>
      </w:r>
    </w:p>
    <w:p>
      <w:pPr>
        <w:spacing w:line="360" w:lineRule="auto" w:after="120"/>
      </w:pPr>
      <w:r>
        <w:t xml:space="preserve">However, keyword-centric machine learning models suffered from severe operational flaws </w:t>
      </w:r>
      <w:r>
        <w:rPr>
          <w:color w:val="323296"/>
        </w:rPr>
        <w:t>[ref9]</w:t>
      </w:r>
      <w:r>
        <w:t xml:space="preserve">. Because TF-IDF and bag-of-words representations treat words as independent tokens without semantic context, these systems were easily exploited through keyword stuffing </w:t>
      </w:r>
      <w:r>
        <w:rPr>
          <w:color w:val="323296"/>
        </w:rPr>
        <w:t>[ref10, ref19]</w:t>
      </w:r>
      <w:r>
        <w:t xml:space="preserve">. Candidates who artificially inserted technical buzzwords into invisible text blocks or overloaded skills sections scored highly, while candidates who described equivalent project experience using different vocabulary were misclassified and discarded </w:t>
      </w:r>
      <w:r>
        <w:rPr>
          <w:color w:val="323296"/>
        </w:rPr>
        <w:t>[ref11, ref12]</w:t>
      </w:r>
      <w:r>
        <w:t xml:space="preserve">. Furthermore, classic classifiers possessed zero capacity to verify whether listed skills reflected actual practical capability or mere textual familiarity </w:t>
      </w:r>
      <w:r>
        <w:rPr>
          <w:color w:val="323296"/>
        </w:rPr>
        <w:t>[ref2, ref3]</w:t>
      </w:r>
      <w:r>
        <w:t>.</w:t>
      </w:r>
    </w:p>
    <w:p>
      <w:pPr>
        <w:spacing w:line="360" w:lineRule="auto" w:after="120"/>
      </w:pPr>
      <w:r>
        <w:t xml:space="preserve">The introduction of transformer architectures, specifically BERT (Bidirectional Encoder Representations from Transformers) </w:t>
      </w:r>
      <w:r>
        <w:rPr>
          <w:color w:val="323296"/>
        </w:rPr>
        <w:t>[ref12]</w:t>
      </w:r>
      <w:r>
        <w:t xml:space="preserve">, fundamentally shifted NLP approaches in recruitment </w:t>
      </w:r>
      <w:r>
        <w:rPr>
          <w:color w:val="323296"/>
        </w:rPr>
        <w:t>[ref11]</w:t>
      </w:r>
      <w:r>
        <w:t xml:space="preserve">. Researchers fine-tuned BERT models for Named Entity Recognition (NER) to extract technical skills, job titles, and educational institutions from unformatted PDF text streams </w:t>
      </w:r>
      <w:r>
        <w:rPr>
          <w:color w:val="323296"/>
        </w:rPr>
        <w:t>[ref9, ref19]</w:t>
      </w:r>
      <w:r>
        <w:t xml:space="preserve">. Subsequent work utilized sentence transformer embeddings to compute Cosine Similarity scores between parsed resume vectors and job requirement embeddings </w:t>
      </w:r>
      <w:r>
        <w:rPr>
          <w:color w:val="323296"/>
        </w:rPr>
        <w:t>[ref41, ref8]</w:t>
      </w:r>
      <w:r>
        <w:t>.</w:t>
      </w:r>
    </w:p>
    <w:p>
      <w:pPr>
        <w:spacing w:line="360" w:lineRule="auto" w:after="120"/>
      </w:pPr>
      <w:r>
        <w:t xml:space="preserve">Despite these algorithmic advances, modern transformer-based resume screeners evaluate resumes strictly as self-contained textual claims </w:t>
      </w:r>
      <w:r>
        <w:rPr>
          <w:color w:val="323296"/>
        </w:rPr>
        <w:t>[ref23, ref19]</w:t>
      </w:r>
      <w:r>
        <w:t xml:space="preserve">. As highlighted by Sinha et al. </w:t>
      </w:r>
      <w:r>
        <w:rPr>
          <w:color w:val="323296"/>
        </w:rPr>
        <w:t>[ref8]</w:t>
      </w:r>
      <w:r>
        <w:t xml:space="preserve"> and Faliagka et al. </w:t>
      </w:r>
      <w:r>
        <w:rPr>
          <w:color w:val="323296"/>
        </w:rPr>
        <w:t>[ref7]</w:t>
      </w:r>
      <w:r>
        <w:t xml:space="preserve">, evaluating candidate claims in isolation without cross-referencing external implementation evidence leaves recruitment platforms vulnerable to candidate skill exaggeration, fabricated experience, and AI-generated resume stuffing </w:t>
      </w:r>
      <w:r>
        <w:rPr>
          <w:color w:val="323296"/>
        </w:rPr>
        <w:t>[ref4, ref5, ref17]</w:t>
      </w:r>
      <w:r>
        <w:t>.</w:t>
      </w:r>
    </w:p>
    <w:p>
      <w:pPr>
        <w:spacing w:line="360" w:lineRule="auto" w:after="120"/>
      </w:pPr>
      <w:r>
        <w:t xml:space="preserve">Recent work by Lo et al. </w:t>
      </w:r>
      <w:r>
        <w:rPr>
          <w:color w:val="323296"/>
        </w:rPr>
        <w:t>[ref23]</w:t>
      </w:r>
      <w:r>
        <w:t xml:space="preserve"> explored multi-agent LLM systems to evaluate candidate resumes across multiple qualitative dimensions, such as experience depth and leadership potential. However, their system evaluates resumes solely against job description prompts rather than cross-referencing skill claims against functional source code repositories </w:t>
      </w:r>
      <w:r>
        <w:rPr>
          <w:color w:val="323296"/>
        </w:rPr>
        <w:t>[ref20, ref23]</w:t>
      </w:r>
      <w:r>
        <w:t xml:space="preserve">. Consequently, a fundamental verification gap persists between claimed technical qualifications and actual coding capability </w:t>
      </w:r>
      <w:r>
        <w:rPr>
          <w:color w:val="323296"/>
        </w:rPr>
        <w:t>[ref15, ref16, ref24]</w:t>
      </w:r>
      <w:r>
        <w:t>.</w:t>
      </w:r>
    </w:p>
    <w:p>
      <w:pPr>
        <w:keepNext/>
        <w:spacing w:before="280" w:after="120"/>
      </w:pPr>
      <w:r>
        <w:rPr>
          <w:rFonts w:ascii="Bookman Old Style" w:hAnsi="Bookman Old Style"/>
          <w:b/>
          <w:color w:val="000000"/>
          <w:sz w:val="28"/>
        </w:rPr>
        <w:t>Retrieval-Augmented Generation (RAG)</w:t>
      </w:r>
    </w:p>
    <w:p>
      <w:pPr>
        <w:spacing w:line="360" w:lineRule="auto" w:after="120"/>
      </w:pPr>
      <w:r>
        <w:t xml:space="preserve">Retrieval-Augmented Generation (RAG) was formally introduced by Lewis et al. </w:t>
      </w:r>
      <w:r>
        <w:rPr>
          <w:color w:val="323296"/>
        </w:rPr>
        <w:t>[ref32]</w:t>
      </w:r>
      <w:r>
        <w:t xml:space="preserve"> to address the inherent parametric memory limitations of Large Language Models. Foundation LLMs store knowledge implicitly within their neural weights, making them susceptible to factual hallucinations, knowledge cut-off boundaries, and an inability to inspect private or domain-specific document collections </w:t>
      </w:r>
      <w:r>
        <w:rPr>
          <w:color w:val="323296"/>
        </w:rPr>
        <w:t>[ref9, ref17, ref18]</w:t>
      </w:r>
      <w:r>
        <w:t xml:space="preserve">. RAG resolves these challenges by coupling an autoregressive language model with an external, non-parametric vector index, retrieving relevant document passages at inference time to ground model outputs in empirical evidence </w:t>
      </w:r>
      <w:r>
        <w:rPr>
          <w:color w:val="323296"/>
        </w:rPr>
        <w:t>[ref33, ref45, ref32]</w:t>
      </w:r>
      <w:r>
        <w:t>.</w:t>
      </w:r>
    </w:p>
    <w:p>
      <w:pPr>
        <w:spacing w:line="360" w:lineRule="auto" w:after="120"/>
      </w:pPr>
      <w:r>
        <w:t xml:space="preserve">Subsequent research introduced architectural enhancements to traditional RAG pipelines </w:t>
      </w:r>
      <w:r>
        <w:rPr>
          <w:color w:val="323296"/>
        </w:rPr>
        <w:t>[ref33]</w:t>
      </w:r>
      <w:r>
        <w:t xml:space="preserve">. Izacard and Grave </w:t>
      </w:r>
      <w:r>
        <w:rPr>
          <w:color w:val="323296"/>
        </w:rPr>
        <w:t>[ref45]</w:t>
      </w:r>
      <w:r>
        <w:t xml:space="preserve"> developed Fusion-in-Decoder (FiD), which processes retrieved passages independently through transformer encoder layers before concatenating their representations in the decoder, enabling scalable multi-document reasoning. Borgeaud et al. </w:t>
      </w:r>
      <w:r>
        <w:rPr>
          <w:color w:val="323296"/>
        </w:rPr>
        <w:t>[ref5]</w:t>
      </w:r>
      <w:r>
        <w:t xml:space="preserve"> presented RETRO (Retrieval-Enhanced Transformer), demonstrating that retrieving over trillions of tokens allows compact language models to achieve performance comparable to parameter-heavy frontier models.</w:t>
      </w:r>
    </w:p>
    <w:p>
      <w:pPr>
        <w:spacing w:line="360" w:lineRule="auto" w:after="120"/>
      </w:pPr>
      <w:r>
        <w:t xml:space="preserve">Gao et al. </w:t>
      </w:r>
      <w:r>
        <w:rPr>
          <w:color w:val="323296"/>
        </w:rPr>
        <w:t>[ref33]</w:t>
      </w:r>
      <w:r>
        <w:t xml:space="preserve"> presented a comprehensive RAG survey, categorizing systems into Naive RAG, Advanced RAG (incorporating pre-retrieval query rewriting and post-retrieval reranking), and Modular RAG (enabling dynamic routing and multi-agent iteration). Self-RAG </w:t>
      </w:r>
      <w:r>
        <w:rPr>
          <w:color w:val="323296"/>
        </w:rPr>
        <w:t>[ref2]</w:t>
      </w:r>
      <w:r>
        <w:t xml:space="preserve"> introduced self-reflection tokens that allow language models to dynamically decide when to retrieve passages and evaluate output factual correctness. Active RAG architectures, such as FLARE </w:t>
      </w:r>
      <w:r>
        <w:rPr>
          <w:color w:val="323296"/>
        </w:rPr>
        <w:t>[ref46]</w:t>
      </w:r>
      <w:r>
        <w:t xml:space="preserve"> and REPLUG </w:t>
      </w:r>
      <w:r>
        <w:rPr>
          <w:color w:val="323296"/>
        </w:rPr>
        <w:t>[ref67]</w:t>
      </w:r>
      <w:r>
        <w:t xml:space="preserve">, dynamically interleave document retrieval with text generation based on token-level confidence thresholds </w:t>
      </w:r>
      <w:r>
        <w:rPr>
          <w:color w:val="323296"/>
        </w:rPr>
        <w:t>[ref68, ref69]</w:t>
      </w:r>
      <w:r>
        <w:t>.</w:t>
      </w:r>
    </w:p>
    <w:p>
      <w:pPr>
        <w:spacing w:line="360" w:lineRule="auto" w:after="120"/>
      </w:pPr>
      <w:r>
        <w:t xml:space="preserve">In technical resume verification, RAG provides the mathematical foundation for anchoring LLM judgment in concrete codebase evidence </w:t>
      </w:r>
      <w:r>
        <w:rPr>
          <w:color w:val="323296"/>
        </w:rPr>
        <w:t>[ref31, ref33, ref32]</w:t>
      </w:r>
      <w:r>
        <w:t xml:space="preserve">. Rather than prompting an LLM to guess whether a candidate knows a claimed skill, CodeAudit AI utilizes RAG to retrieve the top-5 most semantically relevant source code chunks from ChromaDB, forcing the LLM Judge Agent to evaluate actual code syntax before issuing a verdict </w:t>
      </w:r>
      <w:r>
        <w:rPr>
          <w:color w:val="323296"/>
        </w:rPr>
        <w:t>[ref10, ref27, ref25, ref29]</w:t>
      </w:r>
      <w:r>
        <w:t>.</w:t>
      </w:r>
    </w:p>
    <w:p>
      <w:pPr>
        <w:keepNext/>
        <w:spacing w:before="280" w:after="120"/>
      </w:pPr>
      <w:r>
        <w:rPr>
          <w:rFonts w:ascii="Bookman Old Style" w:hAnsi="Bookman Old Style"/>
          <w:b/>
          <w:color w:val="000000"/>
          <w:sz w:val="28"/>
        </w:rPr>
        <w:t>Sentence Embeddings and Vector Databases</w:t>
      </w:r>
    </w:p>
    <w:p>
      <w:pPr>
        <w:spacing w:line="360" w:lineRule="auto" w:after="120"/>
      </w:pPr>
      <w:r>
        <w:t xml:space="preserve">Transforming natural language queries and source code snippets into dense, semantically rich vector representations is essential for effective similarity search </w:t>
      </w:r>
      <w:r>
        <w:rPr>
          <w:color w:val="323296"/>
        </w:rPr>
        <w:t>[ref70, ref41, ref49]</w:t>
      </w:r>
      <w:r>
        <w:t xml:space="preserve">. Reimers and Gurevych </w:t>
      </w:r>
      <w:r>
        <w:rPr>
          <w:color w:val="323296"/>
        </w:rPr>
        <w:t>[ref41]</w:t>
      </w:r>
      <w:r>
        <w:t xml:space="preserve"> introduced Sentence-BERT (SBERT), utilizing Siamese and triplet network structures to derive semantically meaningful sentence embeddings that can be efficiently compared using Cosine Similarity or Euclidean distance metrics.</w:t>
      </w:r>
    </w:p>
    <w:p>
      <w:pPr>
        <w:spacing w:line="360" w:lineRule="auto" w:after="120"/>
      </w:pPr>
      <w:r>
        <w:t xml:space="preserve">Subsequent research focused on contrastive learning and instruction-tuned embedding models </w:t>
      </w:r>
      <w:r>
        <w:rPr>
          <w:color w:val="323296"/>
        </w:rPr>
        <w:t>[ref71, ref48, ref49]</w:t>
      </w:r>
      <w:r>
        <w:t xml:space="preserve">. Su et al. </w:t>
      </w:r>
      <w:r>
        <w:rPr>
          <w:color w:val="323296"/>
        </w:rPr>
        <w:t>[ref48]</w:t>
      </w:r>
      <w:r>
        <w:t xml:space="preserve"> introduced Instructor embeddings, demonstrating that prefixing domain-specific task instructions to text inputs significantly improves cross-domain retrieval performance. Wang et al. </w:t>
      </w:r>
      <w:r>
        <w:rPr>
          <w:color w:val="323296"/>
        </w:rPr>
        <w:t>[ref49]</w:t>
      </w:r>
      <w:r>
        <w:t xml:space="preserve"> presented contrastive learning frameworks that established state-of-the-art benchmarks on the Massive Text Embedding Benchmark (MTEB) </w:t>
      </w:r>
      <w:r>
        <w:rPr>
          <w:color w:val="323296"/>
        </w:rPr>
        <w:t>[ref47]</w:t>
      </w:r>
      <w:r>
        <w:t xml:space="preserve">. Li et al. </w:t>
      </w:r>
      <w:r>
        <w:rPr>
          <w:color w:val="323296"/>
        </w:rPr>
        <w:t>[ref71]</w:t>
      </w:r>
      <w:r>
        <w:t xml:space="preserve"> introduced AnglE embeddings, optimizing gradient loss metrics to capture fine-grained semantic nuances in text and code structures. In CodeAudit AI, the </w:t>
      </w:r>
      <w:r>
        <w:rPr>
          <w:rFonts w:ascii="Consolas" w:hAnsi="Consolas"/>
          <w:sz w:val="21"/>
        </w:rPr>
        <w:t>all-MiniLM-L6-v2</w:t>
      </w:r>
      <w:r>
        <w:t xml:space="preserve"> sentence transformer </w:t>
      </w:r>
      <w:r>
        <w:rPr>
          <w:color w:val="323296"/>
        </w:rPr>
        <w:t>[ref41]</w:t>
      </w:r>
      <w:r>
        <w:t xml:space="preserve"> is selected for its balance of high semantic fidelity (384 dimensions) and low computational latency.</w:t>
      </w:r>
    </w:p>
    <w:p>
      <w:pPr>
        <w:spacing w:line="360" w:lineRule="auto" w:after="120"/>
      </w:pPr>
      <w:r>
        <w:t xml:space="preserve">Vector database architectures have evolved rapidly to support sub-millisecond similarity search over millions of high-dimensional vectors </w:t>
      </w:r>
      <w:r>
        <w:rPr>
          <w:color w:val="323296"/>
        </w:rPr>
        <w:t>[ref31, ref34]</w:t>
      </w:r>
      <w:r>
        <w:t xml:space="preserve">. Modern vector stores—such as ChromaDB </w:t>
      </w:r>
      <w:r>
        <w:rPr>
          <w:color w:val="323296"/>
        </w:rPr>
        <w:t>[ref31]</w:t>
      </w:r>
      <w:r>
        <w:t xml:space="preserve"> and Pinecone </w:t>
      </w:r>
      <w:r>
        <w:rPr>
          <w:color w:val="323296"/>
        </w:rPr>
        <w:t>[ref34]</w:t>
      </w:r>
      <w:r>
        <w:t xml:space="preserve">—utilize Hierarchical Navigable Small World (HNSW) graph algorithms and Inverted File (IVF) indexing to perform approximate nearest-neighbor (ANN) search. Crucially, ChromaDB supports metadata filtering, allowing vector similarity queries to be constrained by metadata attributes </w:t>
      </w:r>
      <w:r>
        <w:rPr>
          <w:color w:val="323296"/>
        </w:rPr>
        <w:t>[ref31, ref33]</w:t>
      </w:r>
      <w:r>
        <w:t xml:space="preserve">. In CodeAudit AI, this metadata filtering mechanism is leveraged to enforce strict candidate-level data isolation during vector retrieval </w:t>
      </w:r>
      <w:r>
        <w:rPr>
          <w:color w:val="323296"/>
        </w:rPr>
        <w:t>[ref33, ref34]</w:t>
      </w:r>
      <w:r>
        <w:t>.</w:t>
      </w:r>
    </w:p>
    <w:p>
      <w:pPr>
        <w:keepNext/>
        <w:spacing w:before="280" w:after="120"/>
      </w:pPr>
      <w:r>
        <w:rPr>
          <w:rFonts w:ascii="Bookman Old Style" w:hAnsi="Bookman Old Style"/>
          <w:b/>
          <w:color w:val="000000"/>
          <w:sz w:val="28"/>
        </w:rPr>
        <w:t>Large Language Models and Code Analysis</w:t>
      </w:r>
    </w:p>
    <w:p>
      <w:pPr>
        <w:spacing w:line="360" w:lineRule="auto" w:after="120"/>
      </w:pPr>
      <w:r>
        <w:t xml:space="preserve">Foundation language models have demonstrated remarkable reasoning capabilities across diverse tasks </w:t>
      </w:r>
      <w:r>
        <w:rPr>
          <w:color w:val="323296"/>
        </w:rPr>
        <w:t>[ref9, ref30, ref16, ref17, ref56, ref18]</w:t>
      </w:r>
      <w:r>
        <w:t xml:space="preserve">. Autoregressive transformer models scaled to tens or hundreds of billions of parameters exhibit emergent capabilities, including zero-shot instruction following, complex reasoning, and structured output generation </w:t>
      </w:r>
      <w:r>
        <w:rPr>
          <w:color w:val="323296"/>
        </w:rPr>
        <w:t>[ref9, ref52, ref42]</w:t>
      </w:r>
      <w:r>
        <w:t xml:space="preserve">. Frontier models such as GPT-3 </w:t>
      </w:r>
      <w:r>
        <w:rPr>
          <w:color w:val="323296"/>
        </w:rPr>
        <w:t>[ref9]</w:t>
      </w:r>
      <w:r>
        <w:t xml:space="preserve">, GPT-4 </w:t>
      </w:r>
      <w:r>
        <w:rPr>
          <w:color w:val="323296"/>
        </w:rPr>
        <w:t>[ref17]</w:t>
      </w:r>
      <w:r>
        <w:t xml:space="preserve">, LLaMA 3 </w:t>
      </w:r>
      <w:r>
        <w:rPr>
          <w:color w:val="323296"/>
        </w:rPr>
        <w:t>[ref16]</w:t>
      </w:r>
      <w:r>
        <w:t xml:space="preserve">, Mistral 7B </w:t>
      </w:r>
      <w:r>
        <w:rPr>
          <w:color w:val="323296"/>
        </w:rPr>
        <w:t>[ref51]</w:t>
      </w:r>
      <w:r>
        <w:t xml:space="preserve">, PaLM </w:t>
      </w:r>
      <w:r>
        <w:rPr>
          <w:color w:val="323296"/>
        </w:rPr>
        <w:t>[ref30]</w:t>
      </w:r>
      <w:r>
        <w:t xml:space="preserve">, and Gemini </w:t>
      </w:r>
      <w:r>
        <w:rPr>
          <w:color w:val="323296"/>
        </w:rPr>
        <w:t>[ref55]</w:t>
      </w:r>
      <w:r>
        <w:t xml:space="preserve"> serve as the core intelligence engines for autonomous agent frameworks </w:t>
      </w:r>
      <w:r>
        <w:rPr>
          <w:color w:val="323296"/>
        </w:rPr>
        <w:t>[ref38, ref64, ref44]</w:t>
      </w:r>
      <w:r>
        <w:t>.</w:t>
      </w:r>
    </w:p>
    <w:p>
      <w:pPr>
        <w:spacing w:line="360" w:lineRule="auto" w:after="120"/>
      </w:pPr>
      <w:r>
        <w:t xml:space="preserve">In software engineering, specialized code LLMs have been trained on vast open-source code repositories </w:t>
      </w:r>
      <w:r>
        <w:rPr>
          <w:color w:val="323296"/>
        </w:rPr>
        <w:t>[ref3, ref20, ref53, ref54, ref58]</w:t>
      </w:r>
      <w:r>
        <w:t xml:space="preserve">. Chen et al. </w:t>
      </w:r>
      <w:r>
        <w:rPr>
          <w:color w:val="323296"/>
        </w:rPr>
        <w:t>[ref20]</w:t>
      </w:r>
      <w:r>
        <w:t xml:space="preserve"> introduced Codex, demonstrating automated code generation and natural language to code translation. Li et al. </w:t>
      </w:r>
      <w:r>
        <w:rPr>
          <w:color w:val="323296"/>
        </w:rPr>
        <w:t>[ref53]</w:t>
      </w:r>
      <w:r>
        <w:t xml:space="preserve"> presented StarCoder, trained on over 80 programming languages from GitHub. Roziere et al. </w:t>
      </w:r>
      <w:r>
        <w:rPr>
          <w:color w:val="323296"/>
        </w:rPr>
        <w:t>[ref54]</w:t>
      </w:r>
      <w:r>
        <w:t xml:space="preserve"> developed Code Llama, providing enhanced code completion, infilling, and natural language explanation capabilities. Parallel research in code representation learning produced models such as CodeBERT </w:t>
      </w:r>
      <w:r>
        <w:rPr>
          <w:color w:val="323296"/>
        </w:rPr>
        <w:t>[ref37]</w:t>
      </w:r>
      <w:r>
        <w:t xml:space="preserve">, UniXcoder </w:t>
      </w:r>
      <w:r>
        <w:rPr>
          <w:color w:val="323296"/>
        </w:rPr>
        <w:t>[ref50]</w:t>
      </w:r>
      <w:r>
        <w:t xml:space="preserve">, and CodeT5+ </w:t>
      </w:r>
      <w:r>
        <w:rPr>
          <w:color w:val="323296"/>
        </w:rPr>
        <w:t>[ref58]</w:t>
      </w:r>
      <w:r>
        <w:t xml:space="preserve">, establishing structural representations of Abstract Syntax Trees (ASTs) and data-flow graphs </w:t>
      </w:r>
      <w:r>
        <w:rPr>
          <w:color w:val="323296"/>
        </w:rPr>
        <w:t>[ref3, ref37, ref50]</w:t>
      </w:r>
      <w:r>
        <w:t>.</w:t>
      </w:r>
    </w:p>
    <w:p>
      <w:pPr>
        <w:spacing w:line="360" w:lineRule="auto" w:after="120"/>
      </w:pPr>
      <w:r>
        <w:t xml:space="preserve">Chain-of-Thought (CoT) prompting </w:t>
      </w:r>
      <w:r>
        <w:rPr>
          <w:color w:val="323296"/>
        </w:rPr>
        <w:t>[ref42]</w:t>
      </w:r>
      <w:r>
        <w:t xml:space="preserve"> further enhanced LLM reasoning by encouraging models to generate intermediate step-by-step reasoning chains before producing a final answer. Kojima et al. </w:t>
      </w:r>
      <w:r>
        <w:rPr>
          <w:color w:val="323296"/>
        </w:rPr>
        <w:t>[ref52]</w:t>
      </w:r>
      <w:r>
        <w:t xml:space="preserve"> demonstrated zero-shot CoT using simple prompt prefixes. Wang et al. </w:t>
      </w:r>
      <w:r>
        <w:rPr>
          <w:color w:val="323296"/>
        </w:rPr>
        <w:t>[ref57]</w:t>
      </w:r>
      <w:r>
        <w:t xml:space="preserve"> introduced Self-Consistency, sampling multiple CoT reasoning paths and selecting the majority verdict. Yao et al. </w:t>
      </w:r>
      <w:r>
        <w:rPr>
          <w:color w:val="323296"/>
        </w:rPr>
        <w:t>[ref59]</w:t>
      </w:r>
      <w:r>
        <w:t xml:space="preserve"> presented Tree of Thoughts (ToT), enabling tree-based search over intermediate reasoning steps, while Zhou et al. </w:t>
      </w:r>
      <w:r>
        <w:rPr>
          <w:color w:val="323296"/>
        </w:rPr>
        <w:t>[ref60]</w:t>
      </w:r>
      <w:r>
        <w:t xml:space="preserve"> explored Least-to-Most prompting for complex task decomposition. In CodeAudit AI, CoT prompting guides the LLM Judge Agent to methodically verify retrieved code snippets against claimed technical skills </w:t>
      </w:r>
      <w:r>
        <w:rPr>
          <w:color w:val="323296"/>
        </w:rPr>
        <w:t>[ref10, ref25, ref42, ref29]</w:t>
      </w:r>
      <w:r>
        <w:t>.</w:t>
      </w:r>
    </w:p>
    <w:p>
      <w:pPr>
        <w:keepNext/>
        <w:spacing w:before="280" w:after="120"/>
      </w:pPr>
      <w:r>
        <w:rPr>
          <w:rFonts w:ascii="Bookman Old Style" w:hAnsi="Bookman Old Style"/>
          <w:b/>
          <w:color w:val="000000"/>
          <w:sz w:val="28"/>
        </w:rPr>
        <w:t>Multi-Agent LLM Frameworks</w:t>
      </w:r>
    </w:p>
    <w:p>
      <w:pPr>
        <w:spacing w:line="360" w:lineRule="auto" w:after="120"/>
      </w:pPr>
      <w:r>
        <w:t xml:space="preserve">Multi-agent coordination frameworks enable specialized autonomous agents to collaborate on complex problem-solving tasks that exceed the capacity of a single monolithic prompt </w:t>
      </w:r>
      <w:r>
        <w:rPr>
          <w:color w:val="323296"/>
        </w:rPr>
        <w:t>[ref61, ref62, ref38, ref63, ref43, ref39]</w:t>
      </w:r>
      <w:r>
        <w:t xml:space="preserve">. Park et al. </w:t>
      </w:r>
      <w:r>
        <w:rPr>
          <w:color w:val="323296"/>
        </w:rPr>
        <w:t>[ref38]</w:t>
      </w:r>
      <w:r>
        <w:t xml:space="preserve"> demonstrated generative agents capable of believable social coordination. Talebirad and Nadiri </w:t>
      </w:r>
      <w:r>
        <w:rPr>
          <w:color w:val="323296"/>
        </w:rPr>
        <w:t>[ref43]</w:t>
      </w:r>
      <w:r>
        <w:t xml:space="preserve"> synthesized core principles of multi-agent collaboration, emphasizing role specialization, structured message passing, and environment feedback loops </w:t>
      </w:r>
      <w:r>
        <w:rPr>
          <w:color w:val="323296"/>
        </w:rPr>
        <w:t>[ref38, ref39]</w:t>
      </w:r>
      <w:r>
        <w:t>.</w:t>
      </w:r>
    </w:p>
    <w:p>
      <w:pPr>
        <w:spacing w:line="360" w:lineRule="auto" w:after="120"/>
      </w:pPr>
      <w:r>
        <w:t>Open-source multi-agent frameworks have formalized these design patterns:</w:t>
      </w:r>
    </w:p>
    <w:p>
      <w:pPr>
        <w:spacing w:line="360" w:lineRule="auto" w:after="120"/>
      </w:pPr>
      <w:r>
        <w:t xml:space="preserve">• </w:t>
      </w:r>
      <w:r>
        <w:rPr>
          <w:b/>
        </w:rPr>
        <w:t>AutoGen \cite{ref39</w:t>
      </w:r>
      <w:r>
        <w:t>:} Enables conversational multi-agent workflows with customizable human-in-the-loop controls.</w:t>
      </w:r>
    </w:p>
    <w:p>
      <w:pPr>
        <w:spacing w:line="360" w:lineRule="auto" w:after="120"/>
      </w:pPr>
      <w:r>
        <w:t xml:space="preserve">• </w:t>
      </w:r>
      <w:r>
        <w:rPr>
          <w:b/>
        </w:rPr>
        <w:t>CAMEL \cite{ref62</w:t>
      </w:r>
      <w:r>
        <w:t>:} Formulates communicative agent setups using role-playing prompts to solve complex tasks autonomously.</w:t>
      </w:r>
    </w:p>
    <w:p>
      <w:pPr>
        <w:spacing w:line="360" w:lineRule="auto" w:after="120"/>
      </w:pPr>
      <w:r>
        <w:t xml:space="preserve">• </w:t>
      </w:r>
      <w:r>
        <w:rPr>
          <w:b/>
        </w:rPr>
        <w:t>MetaGPT \cite{ref61</w:t>
      </w:r>
      <w:r>
        <w:t>:} Embeds software engineering Standard Operating Procedures (SOPs) into agent prompt sequences, assigning distinct roles (Product Manager, Architect, Engineer) to produce structured software artifacts.</w:t>
      </w:r>
    </w:p>
    <w:p>
      <w:pPr>
        <w:spacing w:line="360" w:lineRule="auto" w:after="120"/>
      </w:pPr>
      <w:r>
        <w:t xml:space="preserve">• </w:t>
      </w:r>
      <w:r>
        <w:rPr>
          <w:b/>
        </w:rPr>
        <w:t>ChatDev \cite{ref63</w:t>
      </w:r>
      <w:r>
        <w:t>:} Models software development as an iterative chat-chain between virtual personas collaborating across design, coding, testing, and documentation phases.</w:t>
      </w:r>
    </w:p>
    <w:p>
      <w:pPr>
        <w:spacing w:line="360" w:lineRule="auto" w:after="120"/>
      </w:pPr>
      <w:r>
        <w:t xml:space="preserve">Comprehensive surveys by Wang et al. </w:t>
      </w:r>
      <w:r>
        <w:rPr>
          <w:color w:val="323296"/>
        </w:rPr>
        <w:t>[ref64]</w:t>
      </w:r>
      <w:r>
        <w:t xml:space="preserve"> and Xi et al. </w:t>
      </w:r>
      <w:r>
        <w:rPr>
          <w:color w:val="323296"/>
        </w:rPr>
        <w:t>[ref44]</w:t>
      </w:r>
      <w:r>
        <w:t xml:space="preserve"> confirm that multi-agent architectures outperform monolithic LLMs by isolating functional responsibilities, reducing context window clutter, and preventing single-point reasoning failures across processing phases </w:t>
      </w:r>
      <w:r>
        <w:rPr>
          <w:color w:val="323296"/>
        </w:rPr>
        <w:t>[ref20, ref23, ref64, ref44]</w:t>
      </w:r>
      <w:r>
        <w:t>.</w:t>
      </w:r>
    </w:p>
    <w:p>
      <w:pPr>
        <w:keepNext/>
        <w:spacing w:before="280" w:after="120"/>
      </w:pPr>
      <w:r>
        <w:rPr>
          <w:rFonts w:ascii="Bookman Old Style" w:hAnsi="Bookman Old Style"/>
          <w:b/>
          <w:color w:val="000000"/>
          <w:sz w:val="28"/>
        </w:rPr>
        <w:t>GitHub as an Empirical Data Source and Ethical AI Hiring</w:t>
      </w:r>
    </w:p>
    <w:p>
      <w:pPr>
        <w:spacing w:line="360" w:lineRule="auto" w:after="120"/>
      </w:pPr>
      <w:r>
        <w:t xml:space="preserve">Mining open-source software repositories on GitHub provides invaluable empirical insight into practical software engineering skills </w:t>
      </w:r>
      <w:r>
        <w:rPr>
          <w:color w:val="323296"/>
        </w:rPr>
        <w:t>[ref6, ref15, ref25, ref24, ref26, ref36]</w:t>
      </w:r>
      <w:r>
        <w:t xml:space="preserve">. Kalliamvakou et al. </w:t>
      </w:r>
      <w:r>
        <w:rPr>
          <w:color w:val="323296"/>
        </w:rPr>
        <w:t>[ref24]</w:t>
      </w:r>
      <w:r>
        <w:t xml:space="preserve"> established methodology guidelines for mining GitHub data, noting that public commits, repository structures, language distributions, and dependency manifests reflect real-world implementation experience </w:t>
      </w:r>
      <w:r>
        <w:rPr>
          <w:color w:val="323296"/>
        </w:rPr>
        <w:t>[ref6, ref25, ref26]</w:t>
      </w:r>
      <w:r>
        <w:t xml:space="preserve">. Vasilescu et al. </w:t>
      </w:r>
      <w:r>
        <w:rPr>
          <w:color w:val="323296"/>
        </w:rPr>
        <w:t>[ref36]</w:t>
      </w:r>
      <w:r>
        <w:t xml:space="preserve"> and Borges et al. </w:t>
      </w:r>
      <w:r>
        <w:rPr>
          <w:color w:val="323296"/>
        </w:rPr>
        <w:t>[ref6]</w:t>
      </w:r>
      <w:r>
        <w:t xml:space="preserve"> analyzed developer contribution patterns and project popularity metrics, confirming that public code artifacts serve as authentic skill indicators.</w:t>
      </w:r>
    </w:p>
    <w:p>
      <w:pPr>
        <w:spacing w:line="360" w:lineRule="auto" w:after="120"/>
      </w:pPr>
      <w:r>
        <w:t xml:space="preserve">Concurrently, ethical considerations and regulatory compliance in automated recruitment have drawn intense academic and legal attention </w:t>
      </w:r>
      <w:r>
        <w:rPr>
          <w:color w:val="323296"/>
        </w:rPr>
        <w:t>[ref4, ref14, ref22, ref65, ref66]</w:t>
      </w:r>
      <w:r>
        <w:t xml:space="preserve">. Raghavan et al. </w:t>
      </w:r>
      <w:r>
        <w:rPr>
          <w:color w:val="323296"/>
        </w:rPr>
        <w:t>[ref22]</w:t>
      </w:r>
      <w:r>
        <w:t xml:space="preserve"> evaluated bias mitigation strategies in hiring algorithms, warning against proxy discrimination in automated resume screeners. Mujtaba and Mahapatra </w:t>
      </w:r>
      <w:r>
        <w:rPr>
          <w:color w:val="323296"/>
        </w:rPr>
        <w:t>[ref14]</w:t>
      </w:r>
      <w:r>
        <w:t xml:space="preserve"> emphasized the need for auditable, transparent decision-making in HR technology.</w:t>
      </w:r>
    </w:p>
    <w:p>
      <w:pPr>
        <w:spacing w:line="360" w:lineRule="auto" w:after="120"/>
      </w:pPr>
      <w:r>
        <w:t xml:space="preserve">International regulatory frameworks—such as the EU Artificial Intelligence Act </w:t>
      </w:r>
      <w:r>
        <w:rPr>
          <w:color w:val="323296"/>
        </w:rPr>
        <w:t>[ref65]</w:t>
      </w:r>
      <w:r>
        <w:t xml:space="preserve"> and UNESCO Recommendations on the Ethics of AI </w:t>
      </w:r>
      <w:r>
        <w:rPr>
          <w:color w:val="323296"/>
        </w:rPr>
        <w:t>[ref66]</w:t>
      </w:r>
      <w:r>
        <w:t xml:space="preserve">—mandate strict transparency, auditability, data privacy, and human oversight in employment-related AI systems. CodeAudit AI directly addresses these compliance mandates by replacing subjective scoring with deterministic, evidence-grounded verification backed by explicit source code citations </w:t>
      </w:r>
      <w:r>
        <w:rPr>
          <w:color w:val="323296"/>
        </w:rPr>
        <w:t>[ref2, ref65, ref66]</w:t>
      </w:r>
      <w:r>
        <w:t>.</w:t>
      </w:r>
    </w:p>
    <w:p>
      <w:pPr>
        <w:keepNext/>
        <w:spacing w:before="280" w:after="120"/>
      </w:pPr>
      <w:r>
        <w:rPr>
          <w:rFonts w:ascii="Bookman Old Style" w:hAnsi="Bookman Old Style"/>
          <w:b/>
          <w:color w:val="000000"/>
          <w:sz w:val="28"/>
        </w:rPr>
        <w:t>Research Gaps and Summary</w:t>
      </w:r>
    </w:p>
    <w:p>
      <w:pPr>
        <w:spacing w:line="360" w:lineRule="auto" w:after="120"/>
      </w:pPr>
      <w:r>
        <w:t>The literature review reveals three primary research gaps:</w:t>
      </w:r>
    </w:p>
    <w:p>
      <w:pPr>
        <w:spacing w:line="360" w:lineRule="auto" w:after="120"/>
      </w:pPr>
      <w:r>
        <w:t xml:space="preserve">• </w:t>
      </w:r>
      <w:r>
        <w:rPr>
          <w:b/>
        </w:rPr>
        <w:t>Verification Gap:</w:t>
      </w:r>
      <w:r>
        <w:t xml:space="preserve"> Existing screening platforms evaluate resume text without verifying claims against functional source code evidence </w:t>
      </w:r>
      <w:r>
        <w:rPr>
          <w:color w:val="323296"/>
        </w:rPr>
        <w:t>[ref1, ref9, ref8]</w:t>
      </w:r>
      <w:r>
        <w:t>.</w:t>
      </w:r>
    </w:p>
    <w:p>
      <w:pPr>
        <w:spacing w:line="360" w:lineRule="auto" w:after="120"/>
      </w:pPr>
      <w:r>
        <w:t xml:space="preserve">• </w:t>
      </w:r>
      <w:r>
        <w:rPr>
          <w:b/>
        </w:rPr>
        <w:t>Isolation Gap:</w:t>
      </w:r>
      <w:r>
        <w:t xml:space="preserve"> Vector retrieval systems in hiring platforms lack strict candidate-level metadata isolation, creating risks of cross-tenant data leakage </w:t>
      </w:r>
      <w:r>
        <w:rPr>
          <w:color w:val="323296"/>
        </w:rPr>
        <w:t>[ref31, ref33, ref34]</w:t>
      </w:r>
      <w:r>
        <w:t>.</w:t>
      </w:r>
    </w:p>
    <w:p>
      <w:pPr>
        <w:spacing w:line="360" w:lineRule="auto" w:after="120"/>
      </w:pPr>
      <w:r>
        <w:t xml:space="preserve">• </w:t>
      </w:r>
      <w:r>
        <w:rPr>
          <w:b/>
        </w:rPr>
        <w:t>Hallucination Gap:</w:t>
      </w:r>
      <w:r>
        <w:t xml:space="preserve"> Monolithic scoring models generate subjective scores without citing verifiable codebase evidence </w:t>
      </w:r>
      <w:r>
        <w:rPr>
          <w:color w:val="323296"/>
        </w:rPr>
        <w:t>[ref20, ref17, ref29]</w:t>
      </w:r>
      <w:r>
        <w:t>.</w:t>
      </w:r>
    </w:p>
    <w:p>
      <w:pPr>
        <w:spacing w:line="360" w:lineRule="auto" w:after="120"/>
      </w:pPr>
      <w:r>
        <w:t>Table \ref{tab:system_comparison} summarizes prior automated screening systems in comparison with the proposed CodeAudit AI architecture.</w:t>
      </w:r>
    </w:p>
    <w:p>
      <w:r>
        <w:rPr>
          <w:b/>
          <w:sz w:val="20"/>
        </w:rPr>
        <w:t>Table: Comparative Analysis of AI-Driven Recruitment and Code Analysis Systems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b/>
              </w:rPr>
              <w:t>Alamri et al. (2022) [ref1]</w:t>
            </w:r>
          </w:p>
        </w:tc>
        <w:tc>
          <w:tcPr>
            <w:tcW w:type="dxa" w:w="1806"/>
          </w:tcPr>
          <w:p>
            <w:r>
              <w:rPr>
                <w:b/>
              </w:rPr>
              <w:t>Resume Ranking (Keywords)</w:t>
            </w:r>
          </w:p>
        </w:tc>
        <w:tc>
          <w:tcPr>
            <w:tcW w:type="dxa" w:w="1806"/>
          </w:tcPr>
          <w:p>
            <w:r>
              <w:rPr>
                <w:b/>
              </w:rPr>
              <w:t>No</w:t>
            </w:r>
          </w:p>
        </w:tc>
        <w:tc>
          <w:tcPr>
            <w:tcW w:type="dxa" w:w="1806"/>
          </w:tcPr>
          <w:p>
            <w:r>
              <w:rPr>
                <w:b/>
              </w:rPr>
              <w:t>No</w:t>
            </w:r>
          </w:p>
        </w:tc>
        <w:tc>
          <w:tcPr>
            <w:tcW w:type="dxa" w:w="1806"/>
          </w:tcPr>
          <w:p>
            <w:r>
              <w:rPr>
                <w:b/>
              </w:rPr>
              <w:t>No</w:t>
            </w:r>
          </w:p>
        </w:tc>
      </w:tr>
      <w:tr>
        <w:tc>
          <w:tcPr>
            <w:tcW w:type="dxa" w:w="1806"/>
          </w:tcPr>
          <w:p>
            <w:r>
              <w:t>Deshpande et al. (2023) [ref11]</w:t>
            </w:r>
          </w:p>
        </w:tc>
        <w:tc>
          <w:tcPr>
            <w:tcW w:type="dxa" w:w="1806"/>
          </w:tcPr>
          <w:p>
            <w:r>
              <w:t>Resume Parsing (NLP)</w:t>
            </w:r>
          </w:p>
        </w:tc>
        <w:tc>
          <w:tcPr>
            <w:tcW w:type="dxa" w:w="1806"/>
          </w:tcPr>
          <w:p>
            <w:r>
              <w:t>No</w:t>
            </w:r>
          </w:p>
        </w:tc>
        <w:tc>
          <w:tcPr>
            <w:tcW w:type="dxa" w:w="1806"/>
          </w:tcPr>
          <w:p>
            <w:r>
              <w:t>No</w:t>
            </w:r>
          </w:p>
        </w:tc>
        <w:tc>
          <w:tcPr>
            <w:tcW w:type="dxa" w:w="1806"/>
          </w:tcPr>
          <w:p>
            <w:r>
              <w:t>No</w:t>
            </w:r>
          </w:p>
        </w:tc>
      </w:tr>
      <w:tr>
        <w:tc>
          <w:tcPr>
            <w:tcW w:type="dxa" w:w="1806"/>
          </w:tcPr>
          <w:p>
            <w:r>
              <w:t>Lo et al. (2025) [ref23]</w:t>
            </w:r>
          </w:p>
        </w:tc>
        <w:tc>
          <w:tcPr>
            <w:tcW w:type="dxa" w:w="1806"/>
          </w:tcPr>
          <w:p>
            <w:r>
              <w:t>Multi-Agent Hiring Eval</w:t>
            </w:r>
          </w:p>
        </w:tc>
        <w:tc>
          <w:tcPr>
            <w:tcW w:type="dxa" w:w="1806"/>
          </w:tcPr>
          <w:p>
            <w:r>
              <w:t>No</w:t>
            </w:r>
          </w:p>
        </w:tc>
        <w:tc>
          <w:tcPr>
            <w:tcW w:type="dxa" w:w="1806"/>
          </w:tcPr>
          <w:p>
            <w:r>
              <w:t>Yes</w:t>
            </w:r>
          </w:p>
        </w:tc>
        <w:tc>
          <w:tcPr>
            <w:tcW w:type="dxa" w:w="1806"/>
          </w:tcPr>
          <w:p>
            <w:r>
              <w:t>No</w:t>
            </w:r>
          </w:p>
        </w:tc>
      </w:tr>
      <w:tr>
        <w:tc>
          <w:tcPr>
            <w:tcW w:type="dxa" w:w="1806"/>
          </w:tcPr>
          <w:p>
            <w:r>
              <w:t>ChatDev (2024) [ref63]</w:t>
            </w:r>
          </w:p>
        </w:tc>
        <w:tc>
          <w:tcPr>
            <w:tcW w:type="dxa" w:w="1806"/>
          </w:tcPr>
          <w:p>
            <w:r>
              <w:t>Software Generation</w:t>
            </w:r>
          </w:p>
        </w:tc>
        <w:tc>
          <w:tcPr>
            <w:tcW w:type="dxa" w:w="1806"/>
          </w:tcPr>
          <w:p>
            <w:r>
              <w:t>Yes (Gen)</w:t>
            </w:r>
          </w:p>
        </w:tc>
        <w:tc>
          <w:tcPr>
            <w:tcW w:type="dxa" w:w="1806"/>
          </w:tcPr>
          <w:p>
            <w:r>
              <w:t>Yes</w:t>
            </w:r>
          </w:p>
        </w:tc>
        <w:tc>
          <w:tcPr>
            <w:tcW w:type="dxa" w:w="1806"/>
          </w:tcPr>
          <w:p>
            <w:r>
              <w:t>No</w:t>
            </w:r>
          </w:p>
        </w:tc>
      </w:tr>
      <w:tr>
        <w:tc>
          <w:tcPr>
            <w:tcW w:type="dxa" w:w="1806"/>
          </w:tcPr>
          <w:p>
            <w:r>
              <w:t>CodeBERT (2021) [ref37]</w:t>
            </w:r>
          </w:p>
        </w:tc>
        <w:tc>
          <w:tcPr>
            <w:tcW w:type="dxa" w:w="1806"/>
          </w:tcPr>
          <w:p>
            <w:r>
              <w:t>Code Search</w:t>
            </w:r>
          </w:p>
        </w:tc>
        <w:tc>
          <w:tcPr>
            <w:tcW w:type="dxa" w:w="1806"/>
          </w:tcPr>
          <w:p>
            <w:r>
              <w:t>Yes</w:t>
            </w:r>
          </w:p>
        </w:tc>
        <w:tc>
          <w:tcPr>
            <w:tcW w:type="dxa" w:w="1806"/>
          </w:tcPr>
          <w:p>
            <w:r>
              <w:t>No</w:t>
            </w:r>
          </w:p>
        </w:tc>
        <w:tc>
          <w:tcPr>
            <w:tcW w:type="dxa" w:w="1806"/>
          </w:tcPr>
          <w:p>
            <w:r>
              <w:t>No</w:t>
            </w:r>
          </w:p>
        </w:tc>
      </w:tr>
    </w:tbl>
    <w:p/>
    <w:p>
      <w:pPr>
        <w:spacing w:line="360" w:lineRule="auto" w:after="120"/>
      </w:pPr>
      <w:r>
        <w:t xml:space="preserve">By combining multi-agent orchestration, RAG indexing, and candidate-isolated ChromaDB storage, CodeAudit AI bridges these identified research gaps, establishing an empirical framework for technical skill authentication </w:t>
      </w:r>
      <w:r>
        <w:rPr>
          <w:color w:val="323296"/>
        </w:rPr>
        <w:t>[ref30, ref37, ref33, ref38]</w:t>
      </w:r>
      <w:r>
        <w:t>.</w:t>
      </w:r>
    </w:p>
    <w:p>
      <w:r>
        <w:br w:type="page"/>
      </w:r>
    </w:p>
    <w:p>
      <w:pPr>
        <w:keepNext/>
        <w:spacing w:before="360" w:after="160"/>
      </w:pPr>
      <w:r>
        <w:rPr>
          <w:rFonts w:ascii="Bookman Old Style" w:hAnsi="Bookman Old Style"/>
          <w:b/>
          <w:color w:val="000000"/>
          <w:sz w:val="32"/>
        </w:rPr>
        <w:t>PROPOSED METHODOLOGY</w:t>
      </w:r>
    </w:p>
    <w:p>
      <w:pPr>
        <w:keepNext/>
        <w:spacing w:before="280" w:after="120"/>
      </w:pPr>
      <w:r>
        <w:rPr>
          <w:rFonts w:ascii="Bookman Old Style" w:hAnsi="Bookman Old Style"/>
          <w:b/>
          <w:color w:val="000000"/>
          <w:sz w:val="28"/>
        </w:rPr>
        <w:t>System Architecture Overview</w:t>
      </w:r>
    </w:p>
    <w:p>
      <w:pPr>
        <w:spacing w:line="360" w:lineRule="auto" w:after="120"/>
      </w:pPr>
      <w:r>
        <w:t xml:space="preserve">CodeAudit AI is formulated as a 4-phase modular multi-agent pipeline designed to authenticate technical skill claims on candidate resumes against publicly available source code repositories on GitHub </w:t>
      </w:r>
      <w:r>
        <w:rPr>
          <w:color w:val="323296"/>
        </w:rPr>
        <w:t>[ref10, ref22]</w:t>
      </w:r>
      <w:r>
        <w:t xml:space="preserve">. Traditional resume evaluation relies on isolated textual screening, leaving systems vulnerable to skill inflation and artificial candidate scores </w:t>
      </w:r>
      <w:r>
        <w:rPr>
          <w:color w:val="323296"/>
        </w:rPr>
        <w:t>[ref1, ref7]</w:t>
      </w:r>
      <w:r>
        <w:t xml:space="preserve">. CodeAudit AI bridges this verification gap by anchoring skill evaluation in concrete, functional source code artifacts </w:t>
      </w:r>
      <w:r>
        <w:rPr>
          <w:color w:val="323296"/>
        </w:rPr>
        <w:t>[ref12, ref35, ref53]</w:t>
      </w:r>
      <w:r>
        <w:t>. Figure \ref{fig:architecture} illustrates the high-level architecture and processing flow across the four specialized autonomous agents.</w:t>
      </w:r>
    </w:p>
    <w:p>
      <w:pPr>
        <w:spacing w:line="360" w:lineRule="auto" w:after="120"/>
      </w:pPr>
      <w:r>
        <w:t>\centering</w:t>
      </w:r>
    </w:p>
    <w:p>
      <w:pPr>
        <w:spacing w:line="360" w:lineRule="auto" w:after="120"/>
      </w:pPr>
      <w:r>
        <w:t>\resizebox{0.72\textwidth}{!}{%</w:t>
      </w:r>
    </w:p>
    <w:p>
      <w:pPr>
        <w:spacing w:line="360" w:lineRule="auto" w:after="120"/>
      </w:pPr>
      <w:r>
        <w:t>node distance=1.0cm and 0.6cm,</w:t>
      </w:r>
    </w:p>
    <w:p>
      <w:pPr>
        <w:spacing w:line="360" w:lineRule="auto" w:after="120"/>
      </w:pPr>
      <w:r>
        <w:t>agent/.style={rectangle, draw, rounded corners, fill=white, text width=3.8cm, text centered, minimum height=0.9cm, font=\small},</w:t>
      </w:r>
    </w:p>
    <w:p>
      <w:pPr>
        <w:spacing w:line="360" w:lineRule="auto" w:after="120"/>
      </w:pPr>
      <w:r>
        <w:t>db/.style={cylinder, draw, shape border rotate=90, aspect=0.25, fill=white, text width=2.4cm, text centered, minimum height=1.1cm, font=\small},</w:t>
      </w:r>
    </w:p>
    <w:p>
      <w:pPr>
        <w:spacing w:line="360" w:lineRule="auto" w:after="120"/>
      </w:pPr>
      <w:r>
        <w:t>io/.style={rectangle, draw, fill=white, text width=3.0cm, text centered, minimum height=0.8cm, font=\small},</w:t>
      </w:r>
    </w:p>
    <w:p>
      <w:pPr>
        <w:spacing w:line="360" w:lineRule="auto" w:after="120"/>
      </w:pPr>
      <w:r>
        <w:t>arrow/.style={-&gt;, thick, &gt;=stealth}</w:t>
      </w:r>
    </w:p>
    <w:p>
      <w:pPr>
        <w:spacing w:line="360" w:lineRule="auto" w:after="120"/>
      </w:pPr>
      <w:r>
        <w:t>]</w:t>
      </w:r>
    </w:p>
    <w:p>
      <w:pPr>
        <w:spacing w:line="360" w:lineRule="auto" w:after="120"/>
      </w:pPr>
      <w:r>
        <w:t>}</w:t>
      </w:r>
    </w:p>
    <w:p>
      <w:r>
        <w:rPr>
          <w:i/>
          <w:sz w:val="20"/>
        </w:rPr>
        <w:t>Figure: Four-phase multi-agent architecture of CodeAudit AI showing the sequential pipeline from PDF resume input through claim extraction, code ingestion, RAG indexing, and LLM judgment to the final audit report.</w:t>
      </w:r>
    </w:p>
    <w:p>
      <w:pPr>
        <w:spacing w:line="360" w:lineRule="auto" w:after="120"/>
      </w:pPr>
      <w:r>
        <w:t>\label{fig:architecture}</w:t>
      </w:r>
    </w:p>
    <w:p>
      <w:pPr>
        <w:spacing w:line="360" w:lineRule="auto" w:after="120"/>
      </w:pPr>
      <w:r>
        <w:t xml:space="preserve">The modular multi-agent paradigm isolates specific functional responsibilities across specialized components </w:t>
      </w:r>
      <w:r>
        <w:rPr>
          <w:color w:val="323296"/>
        </w:rPr>
        <w:t>[ref30, ref37]</w:t>
      </w:r>
      <w:r>
        <w:t xml:space="preserve">. Decomposing the system into distinct agents prevents single-point failure modes, minimizes context window clutter in LLM prompts, and enables localized optimization of embedding models and vector databases </w:t>
      </w:r>
      <w:r>
        <w:rPr>
          <w:color w:val="323296"/>
        </w:rPr>
        <w:t>[ref31, ref33, ref39]</w:t>
      </w:r>
      <w:r>
        <w:t>.</w:t>
      </w:r>
    </w:p>
    <w:p>
      <w:pPr>
        <w:keepNext/>
        <w:spacing w:before="280" w:after="120"/>
      </w:pPr>
      <w:r>
        <w:rPr>
          <w:rFonts w:ascii="Bookman Old Style" w:hAnsi="Bookman Old Style"/>
          <w:b/>
          <w:color w:val="000000"/>
          <w:sz w:val="28"/>
        </w:rPr>
        <w:t>Phase 1: Claim Extraction Agent</w:t>
      </w:r>
    </w:p>
    <w:p>
      <w:pPr>
        <w:spacing w:line="360" w:lineRule="auto" w:after="120"/>
      </w:pPr>
      <w:r>
        <w:t xml:space="preserve">The Claim Extraction Agent is responsible for ingesting candidate PDF resumes and isolating verifiable technical skill claims </w:t>
      </w:r>
      <w:r>
        <w:rPr>
          <w:color w:val="323296"/>
        </w:rPr>
        <w:t>[ref40]</w:t>
      </w:r>
      <w:r>
        <w:t xml:space="preserve">. PDF documents are parsed using PyMuPDF (fitz), which extracts raw text streams while preserving document structural hierarchy. The extracted text is subjected to sanitization, removing non-ASCII characters, redundant whitespace, and decorative formatting </w:t>
      </w:r>
      <w:r>
        <w:rPr>
          <w:color w:val="323296"/>
        </w:rPr>
        <w:t>[ref9]</w:t>
      </w:r>
      <w:r>
        <w:t>.</w:t>
      </w:r>
    </w:p>
    <w:p>
      <w:pPr>
        <w:spacing w:line="360" w:lineRule="auto" w:after="120"/>
      </w:pPr>
      <w:r>
        <w:t xml:space="preserve">To identify technical skills reliably, the agent evaluates the cleaned text stream against a dictionary-driven regular expression engine equipped with strict word-boundary anchors </w:t>
      </w:r>
      <w:r>
        <w:rPr>
          <w:color w:val="323296"/>
        </w:rPr>
        <w:t>[ref1, ref11]</w:t>
      </w:r>
      <w:r>
        <w:t xml:space="preserve">. Word-boundary matching is critical to prevent false substring identification, ensuring that terms like </w:t>
      </w:r>
      <w:r>
        <w:rPr>
          <w:rFonts w:ascii="Consolas" w:hAnsi="Consolas"/>
          <w:sz w:val="21"/>
        </w:rPr>
        <w:t>Java</w:t>
      </w:r>
      <w:r>
        <w:t xml:space="preserve"> are not mistakenly matched inside </w:t>
      </w:r>
      <w:r>
        <w:rPr>
          <w:rFonts w:ascii="Consolas" w:hAnsi="Consolas"/>
          <w:sz w:val="21"/>
        </w:rPr>
        <w:t>JavaScript</w:t>
      </w:r>
      <w:r>
        <w:t xml:space="preserve">, or </w:t>
      </w:r>
      <w:r>
        <w:rPr>
          <w:rFonts w:ascii="Consolas" w:hAnsi="Consolas"/>
          <w:sz w:val="21"/>
        </w:rPr>
        <w:t>C</w:t>
      </w:r>
      <w:r>
        <w:t xml:space="preserve"> inside </w:t>
      </w:r>
      <w:r>
        <w:rPr>
          <w:rFonts w:ascii="Consolas" w:hAnsi="Consolas"/>
          <w:sz w:val="21"/>
        </w:rPr>
        <w:t>C++</w:t>
      </w:r>
      <w:r>
        <w:t xml:space="preserve"> or </w:t>
      </w:r>
      <w:r>
        <w:rPr>
          <w:rFonts w:ascii="Consolas" w:hAnsi="Consolas"/>
          <w:sz w:val="21"/>
        </w:rPr>
        <w:t>CSS</w:t>
      </w:r>
      <w:r>
        <w:t xml:space="preserve"> </w:t>
      </w:r>
      <w:r>
        <w:rPr>
          <w:color w:val="323296"/>
        </w:rPr>
        <w:t>[ref49]</w:t>
      </w:r>
      <w:r>
        <w:t>. Table \ref{tab:keywords} details the 17 technical keywords monitored across six core technology categories.</w:t>
      </w:r>
    </w:p>
    <w:p>
      <w:r>
        <w:rPr>
          <w:b/>
          <w:sz w:val="20"/>
        </w:rPr>
        <w:t>Table: List of 17 Technical Keywords</w:t>
      </w:r>
    </w:p>
    <w:tbl>
      <w:tblPr>
        <w:tblW w:type="auto" w:w="0"/>
        <w:jc w:val="center"/>
        <w:tblLook w:firstColumn="1" w:firstRow="1" w:lastColumn="0" w:lastRow="0" w:noHBand="0" w:noVBand="1" w:val="04A0"/>
      </w:tblPr>
      <w:tblGrid>
        <w:gridCol w:w="4514"/>
        <w:gridCol w:w="4514"/>
      </w:tblGrid>
      <w:tr>
        <w:tc>
          <w:tcPr>
            <w:tcW w:type="dxa" w:w="4514"/>
          </w:tcPr>
          <w:p>
            <w:r>
              <w:rPr>
                <w:b/>
              </w:rPr>
              <w:t>Languages</w:t>
            </w:r>
          </w:p>
        </w:tc>
        <w:tc>
          <w:tcPr>
            <w:tcW w:type="dxa" w:w="4514"/>
          </w:tcPr>
          <w:p>
            <w:r>
              <w:rPr>
                <w:b/>
              </w:rPr>
              <w:t>Python, JavaScript, Java, C++</w:t>
            </w:r>
          </w:p>
        </w:tc>
      </w:tr>
      <w:tr>
        <w:tc>
          <w:tcPr>
            <w:tcW w:type="dxa" w:w="4514"/>
          </w:tcPr>
          <w:p>
            <w:r>
              <w:t>Frameworks</w:t>
            </w:r>
          </w:p>
        </w:tc>
        <w:tc>
          <w:tcPr>
            <w:tcW w:type="dxa" w:w="4514"/>
          </w:tcPr>
          <w:p>
            <w:r>
              <w:t>React, Angular, Django, Flask</w:t>
            </w:r>
          </w:p>
        </w:tc>
      </w:tr>
      <w:tr>
        <w:tc>
          <w:tcPr>
            <w:tcW w:type="dxa" w:w="4514"/>
          </w:tcPr>
          <w:p>
            <w:r>
              <w:t>Runtime/Backend</w:t>
            </w:r>
          </w:p>
        </w:tc>
        <w:tc>
          <w:tcPr>
            <w:tcW w:type="dxa" w:w="4514"/>
          </w:tcPr>
          <w:p>
            <w:r>
              <w:t>Node.js</w:t>
            </w:r>
          </w:p>
        </w:tc>
      </w:tr>
      <w:tr>
        <w:tc>
          <w:tcPr>
            <w:tcW w:type="dxa" w:w="4514"/>
          </w:tcPr>
          <w:p>
            <w:r>
              <w:t>Machine Learning</w:t>
            </w:r>
          </w:p>
        </w:tc>
        <w:tc>
          <w:tcPr>
            <w:tcW w:type="dxa" w:w="4514"/>
          </w:tcPr>
          <w:p>
            <w:r>
              <w:t>TensorFlow, PyTorch, Scikit-learn</w:t>
            </w:r>
          </w:p>
        </w:tc>
      </w:tr>
      <w:tr>
        <w:tc>
          <w:tcPr>
            <w:tcW w:type="dxa" w:w="4514"/>
          </w:tcPr>
          <w:p>
            <w:r>
              <w:t>Databases</w:t>
            </w:r>
          </w:p>
        </w:tc>
        <w:tc>
          <w:tcPr>
            <w:tcW w:type="dxa" w:w="4514"/>
          </w:tcPr>
          <w:p>
            <w:r>
              <w:t>SQL, MongoDB, PostgreSQL</w:t>
            </w:r>
          </w:p>
        </w:tc>
      </w:tr>
    </w:tbl>
    <w:p/>
    <w:p>
      <w:pPr>
        <w:spacing w:line="360" w:lineRule="auto" w:after="120"/>
      </w:pPr>
      <w:r>
        <w:t xml:space="preserve">The agent computes keyword frequency distributions across the resume text and extracts the top-5 candidate skill claims $S = \{s_1, s_2, s_3, s_4, s_5\}$. Selecting the top-5 claims focuses downstream code retrieval on the candidate's primary advertised proficiencies while optimizing computational throughput </w:t>
      </w:r>
      <w:r>
        <w:rPr>
          <w:color w:val="323296"/>
        </w:rPr>
        <w:t>[ref10, ref27]</w:t>
      </w:r>
      <w:r>
        <w:t>.</w:t>
      </w:r>
    </w:p>
    <w:p>
      <w:pPr>
        <w:keepNext/>
        <w:spacing w:before="280" w:after="120"/>
      </w:pPr>
      <w:r>
        <w:rPr>
          <w:rFonts w:ascii="Bookman Old Style" w:hAnsi="Bookman Old Style"/>
          <w:b/>
          <w:color w:val="000000"/>
          <w:sz w:val="28"/>
        </w:rPr>
        <w:t>Phase 2: Code Ingestion Agent</w:t>
      </w:r>
    </w:p>
    <w:p>
      <w:pPr>
        <w:spacing w:line="360" w:lineRule="auto" w:after="120"/>
      </w:pPr>
      <w:r>
        <w:t xml:space="preserve">The Code Ingestion Agent interfaces with the GitHub REST API v3 </w:t>
      </w:r>
      <w:r>
        <w:rPr>
          <w:color w:val="323296"/>
        </w:rPr>
        <w:t>[ref12]</w:t>
      </w:r>
      <w:r>
        <w:t xml:space="preserve"> to retrieve public source code repositories associated with the candidate's GitHub profile handle $G$. Repository fetching is executed asynchronously using Python's </w:t>
      </w:r>
      <w:r>
        <w:rPr>
          <w:rFonts w:ascii="Consolas" w:hAnsi="Consolas"/>
          <w:sz w:val="21"/>
        </w:rPr>
        <w:t>aiohttp</w:t>
      </w:r>
      <w:r>
        <w:t xml:space="preserve"> library, enabling concurrent HTTP GET requests across multiple repositories without blocking the main event loop </w:t>
      </w:r>
      <w:r>
        <w:rPr>
          <w:color w:val="323296"/>
        </w:rPr>
        <w:t>[ref35]</w:t>
      </w:r>
      <w:r>
        <w:t>.</w:t>
      </w:r>
    </w:p>
    <w:p>
      <w:pPr>
        <w:spacing w:line="360" w:lineRule="auto" w:after="120"/>
      </w:pPr>
      <w:r>
        <w:t>To ensure that only functional, human-written source code is ingested into the vector pipeline, the agent enforces three strict preprocessing filters:</w:t>
      </w:r>
    </w:p>
    <w:p>
      <w:pPr>
        <w:spacing w:line="360" w:lineRule="auto" w:after="120"/>
      </w:pPr>
      <w:r>
        <w:t xml:space="preserve">• </w:t>
      </w:r>
      <w:r>
        <w:rPr>
          <w:b/>
        </w:rPr>
        <w:t>File Extension Whitelist:</w:t>
      </w:r>
      <w:r>
        <w:t xml:space="preserve"> Ingestion is restricted to recognized programming language and configuration files. Table \ref{tab:filetypes} outlines the supported file extensions and their corresponding technology domains.</w:t>
      </w:r>
    </w:p>
    <w:p>
      <w:pPr>
        <w:spacing w:line="360" w:lineRule="auto" w:after="120"/>
      </w:pPr>
      <w:r>
        <w:t xml:space="preserve">• </w:t>
      </w:r>
      <w:r>
        <w:rPr>
          <w:b/>
        </w:rPr>
        <w:t>100KB Size Cap:</w:t>
      </w:r>
      <w:r>
        <w:t xml:space="preserve"> Individual source files exceeding 100KB are automatically excluded. Large files are typically minified JavaScript bundles, auto-generated code, binary datasets, or compiled lockfiles, which bloat the vector index without providing useful code evidence </w:t>
      </w:r>
      <w:r>
        <w:rPr>
          <w:color w:val="323296"/>
        </w:rPr>
        <w:t>[ref15, ref24]</w:t>
      </w:r>
      <w:r>
        <w:t>.</w:t>
      </w:r>
    </w:p>
    <w:p>
      <w:pPr>
        <w:spacing w:line="360" w:lineRule="auto" w:after="120"/>
      </w:pPr>
      <w:r>
        <w:t xml:space="preserve">• </w:t>
      </w:r>
      <w:r>
        <w:rPr>
          <w:b/>
        </w:rPr>
        <w:t>Jupyter Notebook AST Cleaning:</w:t>
      </w:r>
      <w:r>
        <w:t xml:space="preserve"> Jupyter Notebooks (</w:t>
      </w:r>
      <w:r>
        <w:rPr>
          <w:rFonts w:ascii="Consolas" w:hAnsi="Consolas"/>
          <w:sz w:val="21"/>
        </w:rPr>
        <w:t>.ipynb</w:t>
      </w:r>
      <w:r>
        <w:t xml:space="preserve">) are parsed as JSON structures. Markdown cells, raw execution outputs, and base64-encoded image strings are stripped, isolating only executable code cell blocks </w:t>
      </w:r>
      <w:r>
        <w:rPr>
          <w:color w:val="323296"/>
        </w:rPr>
        <w:t>[ref26]</w:t>
      </w:r>
      <w:r>
        <w:t>.</w:t>
      </w:r>
    </w:p>
    <w:p>
      <w:r>
        <w:rPr>
          <w:b/>
          <w:sz w:val="20"/>
        </w:rPr>
        <w:t>Table: Supported File Types</w:t>
      </w:r>
    </w:p>
    <w:tbl>
      <w:tblPr>
        <w:tblW w:type="auto" w:w="0"/>
        <w:jc w:val="center"/>
        <w:tblLook w:firstColumn="1" w:firstRow="1" w:lastColumn="0" w:lastRow="0" w:noHBand="0" w:noVBand="1" w:val="04A0"/>
      </w:tblPr>
      <w:tblGrid>
        <w:gridCol w:w="4514"/>
        <w:gridCol w:w="4514"/>
      </w:tblGrid>
      <w:tr>
        <w:tc>
          <w:tcPr>
            <w:tcW w:type="dxa" w:w="4514"/>
          </w:tcPr>
          <w:p>
            <w:r>
              <w:rPr>
                <w:b/>
              </w:rPr>
              <w:t>.py</w:t>
            </w:r>
          </w:p>
        </w:tc>
        <w:tc>
          <w:tcPr>
            <w:tcW w:type="dxa" w:w="4514"/>
          </w:tcPr>
          <w:p>
            <w:r>
              <w:rPr>
                <w:b/>
              </w:rPr>
              <w:t>Python source code files</w:t>
            </w:r>
          </w:p>
        </w:tc>
      </w:tr>
      <w:tr>
        <w:tc>
          <w:tcPr>
            <w:tcW w:type="dxa" w:w="4514"/>
          </w:tcPr>
          <w:p>
            <w:r>
              <w:t>.js, .jsx, .ts, .tsx</w:t>
            </w:r>
          </w:p>
        </w:tc>
        <w:tc>
          <w:tcPr>
            <w:tcW w:type="dxa" w:w="4514"/>
          </w:tcPr>
          <w:p>
            <w:r>
              <w:t>JavaScript/TypeScript frontend and backend code</w:t>
            </w:r>
          </w:p>
        </w:tc>
      </w:tr>
      <w:tr>
        <w:tc>
          <w:tcPr>
            <w:tcW w:type="dxa" w:w="4514"/>
          </w:tcPr>
          <w:p>
            <w:r>
              <w:t>.java, .cpp</w:t>
            </w:r>
          </w:p>
        </w:tc>
        <w:tc>
          <w:tcPr>
            <w:tcW w:type="dxa" w:w="4514"/>
          </w:tcPr>
          <w:p>
            <w:r>
              <w:t>Java and C++ compiled source files</w:t>
            </w:r>
          </w:p>
        </w:tc>
      </w:tr>
      <w:tr>
        <w:tc>
          <w:tcPr>
            <w:tcW w:type="dxa" w:w="4514"/>
          </w:tcPr>
          <w:p>
            <w:r>
              <w:t>.sh, .yml, .json</w:t>
            </w:r>
          </w:p>
        </w:tc>
        <w:tc>
          <w:tcPr>
            <w:tcW w:type="dxa" w:w="4514"/>
          </w:tcPr>
          <w:p>
            <w:r>
              <w:t>Shell scripts, YAML CI/CD, and configuration files</w:t>
            </w:r>
          </w:p>
        </w:tc>
      </w:tr>
    </w:tbl>
    <w:p/>
    <w:p>
      <w:pPr>
        <w:spacing w:line="360" w:lineRule="auto" w:after="120"/>
      </w:pPr>
      <w:r>
        <w:t xml:space="preserve">Each ingested source file is prefixed with a standardized provenance header formatted as </w:t>
      </w:r>
      <w:r>
        <w:rPr>
          <w:rFonts w:ascii="Consolas" w:hAnsi="Consolas"/>
          <w:sz w:val="21"/>
        </w:rPr>
        <w:t>--- Repository: \{repo\</w:t>
      </w:r>
      <w:r>
        <w:t xml:space="preserve"> | File: \{path\} ---}. This header embeds repository provenance directly into code chunks, enabling the downstream LLM Judge to generate verifiable citations </w:t>
      </w:r>
      <w:r>
        <w:rPr>
          <w:color w:val="323296"/>
        </w:rPr>
        <w:t>[ref25]</w:t>
      </w:r>
      <w:r>
        <w:t xml:space="preserve">. Ingested files are cached locally in </w:t>
      </w:r>
      <w:r>
        <w:rPr>
          <w:rFonts w:ascii="Consolas" w:hAnsi="Consolas"/>
          <w:sz w:val="21"/>
        </w:rPr>
        <w:t>repo\_cache.json</w:t>
      </w:r>
      <w:r>
        <w:t xml:space="preserve"> to eliminate duplicate API requests during testing.</w:t>
      </w:r>
    </w:p>
    <w:p>
      <w:pPr>
        <w:keepNext/>
        <w:spacing w:before="280" w:after="120"/>
      </w:pPr>
      <w:r>
        <w:rPr>
          <w:rFonts w:ascii="Bookman Old Style" w:hAnsi="Bookman Old Style"/>
          <w:b/>
          <w:color w:val="000000"/>
          <w:sz w:val="28"/>
        </w:rPr>
        <w:t>Phase 3: RAG Indexing Agent</w:t>
      </w:r>
    </w:p>
    <w:p>
      <w:pPr>
        <w:spacing w:line="360" w:lineRule="auto" w:after="120"/>
      </w:pPr>
      <w:r>
        <w:t xml:space="preserve">The RAG Indexing Agent transforms ingested source code into a mathematically searchable dense vector space </w:t>
      </w:r>
      <w:r>
        <w:rPr>
          <w:color w:val="323296"/>
        </w:rPr>
        <w:t>[ref30, ref31, ref32]</w:t>
      </w:r>
      <w:r>
        <w:t xml:space="preserve">. Ingested source files are segmented into character-level chunks using a recursive text splitter configured with a chunk size of 800 characters and an overlap of 100 characters </w:t>
      </w:r>
      <w:r>
        <w:rPr>
          <w:color w:val="323296"/>
        </w:rPr>
        <w:t>[ref30, ref41]</w:t>
      </w:r>
      <w:r>
        <w:t>.</w:t>
      </w:r>
    </w:p>
    <w:p>
      <w:pPr>
        <w:spacing w:line="360" w:lineRule="auto" w:after="120"/>
      </w:pPr>
      <w:r>
        <w:t xml:space="preserve">The 100-character overlap ensures that critical code structures—such as function signatures, class declarations, import blocks, and decorator annotations—are not arbitrarily split across chunk boundaries </w:t>
      </w:r>
      <w:r>
        <w:rPr>
          <w:color w:val="323296"/>
        </w:rPr>
        <w:t>[ref27, ref35]</w:t>
      </w:r>
      <w:r>
        <w:t>. Figure \ref{fig:rag_pipeline} depicts the complete RAG indexing and vector retrieval pipeline.</w:t>
      </w:r>
    </w:p>
    <w:p>
      <w:pPr>
        <w:spacing w:line="360" w:lineRule="auto" w:after="120"/>
      </w:pPr>
      <w:r>
        <w:t>\centering</w:t>
      </w:r>
    </w:p>
    <w:p>
      <w:pPr>
        <w:spacing w:line="360" w:lineRule="auto" w:after="120"/>
      </w:pPr>
      <w:r>
        <w:t>\resizebox{0.95\textwidth}{!}{%</w:t>
      </w:r>
    </w:p>
    <w:p>
      <w:pPr>
        <w:spacing w:line="360" w:lineRule="auto" w:after="120"/>
      </w:pPr>
      <w:r>
        <w:t>node distance=1.2cm and 0.8cm,</w:t>
      </w:r>
    </w:p>
    <w:p>
      <w:pPr>
        <w:spacing w:line="360" w:lineRule="auto" w:after="120"/>
      </w:pPr>
      <w:r>
        <w:t>block/.style={rectangle, draw, rounded corners, fill=white, text width=2.8cm, text centered, minimum height=1cm, font=\small},</w:t>
      </w:r>
    </w:p>
    <w:p>
      <w:pPr>
        <w:spacing w:line="360" w:lineRule="auto" w:after="120"/>
      </w:pPr>
      <w:r>
        <w:t>proc/.style={rectangle, draw, fill=white, text width=2.8cm, text centered, minimum height=1cm, font=\small},</w:t>
      </w:r>
    </w:p>
    <w:p>
      <w:pPr>
        <w:spacing w:line="360" w:lineRule="auto" w:after="120"/>
      </w:pPr>
      <w:r>
        <w:t>db/.style={cylinder, draw, shape border rotate=90, aspect=0.25, fill=white, text width=2.2cm, text centered, minimum height=1.2cm, font=\small},</w:t>
      </w:r>
    </w:p>
    <w:p>
      <w:pPr>
        <w:spacing w:line="360" w:lineRule="auto" w:after="120"/>
      </w:pPr>
      <w:r>
        <w:t>arrow/.style={-&gt;, thick, &gt;=stealth}</w:t>
      </w:r>
    </w:p>
    <w:p>
      <w:pPr>
        <w:spacing w:line="360" w:lineRule="auto" w:after="120"/>
      </w:pPr>
      <w:r>
        <w:t>]</w:t>
      </w:r>
    </w:p>
    <w:p>
      <w:pPr>
        <w:spacing w:line="360" w:lineRule="auto" w:after="120"/>
      </w:pPr>
      <w:r>
        <w:t>}</w:t>
      </w:r>
    </w:p>
    <w:p>
      <w:r>
        <w:rPr>
          <w:i/>
          <w:sz w:val="20"/>
        </w:rPr>
        <w:t>Figure: Detailed RAG Indexing and Vector Retrieval Pipeline showing chunking, embedding generation, ChromaDB metadata storage, and Cosine Similarity top-5 context retrieval.</w:t>
      </w:r>
    </w:p>
    <w:p>
      <w:pPr>
        <w:spacing w:line="360" w:lineRule="auto" w:after="120"/>
      </w:pPr>
      <w:r>
        <w:t>\label{fig:rag_pipeline}</w:t>
      </w:r>
    </w:p>
    <w:p>
      <w:pPr>
        <w:spacing w:line="360" w:lineRule="auto" w:after="120"/>
      </w:pPr>
      <w:r>
        <w:t xml:space="preserve">Source code chunks are converted into 384-dimensional dense vector embeddings using the </w:t>
      </w:r>
      <w:r>
        <w:rPr>
          <w:rFonts w:ascii="Consolas" w:hAnsi="Consolas"/>
          <w:sz w:val="21"/>
        </w:rPr>
        <w:t>all-MiniLM-L6-v2</w:t>
      </w:r>
      <w:r>
        <w:t xml:space="preserve"> sentence transformer model </w:t>
      </w:r>
      <w:r>
        <w:rPr>
          <w:color w:val="323296"/>
        </w:rPr>
        <w:t>[ref35, ref41]</w:t>
      </w:r>
      <w:r>
        <w:t xml:space="preserve">. This model offers an optimal trade-off between semantic capture quality and low computational latency </w:t>
      </w:r>
      <w:r>
        <w:rPr>
          <w:color w:val="323296"/>
        </w:rPr>
        <w:t>[ref36, ref49]</w:t>
      </w:r>
      <w:r>
        <w:t xml:space="preserve">. Embeddings are stored in a persistent local ChromaDB instance </w:t>
      </w:r>
      <w:r>
        <w:rPr>
          <w:color w:val="323296"/>
        </w:rPr>
        <w:t>[ref31]</w:t>
      </w:r>
      <w:r>
        <w:t>. Table \ref{tab:ragconfig} summarizes the RAG indexing parameters.</w:t>
      </w:r>
    </w:p>
    <w:p>
      <w:r>
        <w:rPr>
          <w:b/>
          <w:sz w:val="20"/>
        </w:rPr>
        <w:t>Table: RAG Configuration</w:t>
      </w:r>
    </w:p>
    <w:tbl>
      <w:tblPr>
        <w:tblW w:type="auto" w:w="0"/>
        <w:jc w:val="center"/>
        <w:tblLook w:firstColumn="1" w:firstRow="1" w:lastColumn="0" w:lastRow="0" w:noHBand="0" w:noVBand="1" w:val="04A0"/>
      </w:tblPr>
      <w:tblGrid>
        <w:gridCol w:w="4514"/>
        <w:gridCol w:w="4514"/>
      </w:tblGrid>
      <w:tr>
        <w:tc>
          <w:tcPr>
            <w:tcW w:type="dxa" w:w="4514"/>
          </w:tcPr>
          <w:p>
            <w:r>
              <w:rPr>
                <w:b/>
              </w:rPr>
              <w:t>Embedding Model</w:t>
            </w:r>
          </w:p>
        </w:tc>
        <w:tc>
          <w:tcPr>
            <w:tcW w:type="dxa" w:w="4514"/>
          </w:tcPr>
          <w:p>
            <w:r>
              <w:rPr>
                <w:b/>
              </w:rPr>
              <w:t>all-MiniLM-L6-v2 (384 dimensions)</w:t>
            </w:r>
          </w:p>
        </w:tc>
      </w:tr>
      <w:tr>
        <w:tc>
          <w:tcPr>
            <w:tcW w:type="dxa" w:w="4514"/>
          </w:tcPr>
          <w:p>
            <w:r>
              <w:t>Vector Database</w:t>
            </w:r>
          </w:p>
        </w:tc>
        <w:tc>
          <w:tcPr>
            <w:tcW w:type="dxa" w:w="4514"/>
          </w:tcPr>
          <w:p>
            <w:r>
              <w:t>ChromaDB (Persistent local storage)</w:t>
            </w:r>
          </w:p>
        </w:tc>
      </w:tr>
      <w:tr>
        <w:tc>
          <w:tcPr>
            <w:tcW w:type="dxa" w:w="4514"/>
          </w:tcPr>
          <w:p>
            <w:r>
              <w:t>Chunk Size</w:t>
            </w:r>
          </w:p>
        </w:tc>
        <w:tc>
          <w:tcPr>
            <w:tcW w:type="dxa" w:w="4514"/>
          </w:tcPr>
          <w:p>
            <w:r>
              <w:t>800 characters</w:t>
            </w:r>
          </w:p>
        </w:tc>
      </w:tr>
      <w:tr>
        <w:tc>
          <w:tcPr>
            <w:tcW w:type="dxa" w:w="4514"/>
          </w:tcPr>
          <w:p>
            <w:r>
              <w:t>Chunk Overlap</w:t>
            </w:r>
          </w:p>
        </w:tc>
        <w:tc>
          <w:tcPr>
            <w:tcW w:type="dxa" w:w="4514"/>
          </w:tcPr>
          <w:p>
            <w:r>
              <w:t>100 characters</w:t>
            </w:r>
          </w:p>
        </w:tc>
      </w:tr>
    </w:tbl>
    <w:p/>
    <w:p>
      <w:pPr>
        <w:keepNext/>
        <w:spacing w:before="280" w:after="120"/>
      </w:pPr>
      <w:r>
        <w:rPr>
          <w:rFonts w:ascii="Bookman Old Style" w:hAnsi="Bookman Old Style"/>
          <w:b/>
          <w:color w:val="000000"/>
          <w:sz w:val="28"/>
        </w:rPr>
        <w:t>Phase 4: LLM Judge Agent</w:t>
      </w:r>
    </w:p>
    <w:p>
      <w:pPr>
        <w:spacing w:line="360" w:lineRule="auto" w:after="120"/>
      </w:pPr>
      <w:r>
        <w:t xml:space="preserve">The LLM Judge Agent evaluates retrieved code evidence against extracted skill claims using LangChain orchestration </w:t>
      </w:r>
      <w:r>
        <w:rPr>
          <w:color w:val="323296"/>
        </w:rPr>
        <w:t>[ref27]</w:t>
      </w:r>
      <w:r>
        <w:t xml:space="preserve">. For each skill claim $s_i$, the agent queries ChromaDB to retrieve the top-5 ($k=5$) most semantically relevant code chunks </w:t>
      </w:r>
      <w:r>
        <w:rPr>
          <w:color w:val="323296"/>
        </w:rPr>
        <w:t>[ref30, ref32]</w:t>
      </w:r>
      <w:r>
        <w:t>.</w:t>
      </w:r>
    </w:p>
    <w:p>
      <w:pPr>
        <w:spacing w:line="360" w:lineRule="auto" w:after="120"/>
      </w:pPr>
      <w:r>
        <w:t xml:space="preserve">The Judge Agent executes a Chain-of-Thought (CoT) evaluation prompt </w:t>
      </w:r>
      <w:r>
        <w:rPr>
          <w:color w:val="323296"/>
        </w:rPr>
        <w:t>[ref42]</w:t>
      </w:r>
      <w:r>
        <w:t xml:space="preserve">, instructing the LLM to methodically inspect code syntax, API calls, library imports, and function implementations </w:t>
      </w:r>
      <w:r>
        <w:rPr>
          <w:color w:val="323296"/>
        </w:rPr>
        <w:t>[ref10, ref25]</w:t>
      </w:r>
      <w:r>
        <w:t xml:space="preserve">. The prompt enforces strict evaluation criteria, instructing the agent to issue a verdict of </w:t>
      </w:r>
      <w:r>
        <w:rPr>
          <w:rFonts w:ascii="Consolas" w:hAnsi="Consolas"/>
          <w:sz w:val="21"/>
        </w:rPr>
        <w:t>Verified</w:t>
      </w:r>
      <w:r>
        <w:t xml:space="preserve"> only if functional code logic is present, and </w:t>
      </w:r>
      <w:r>
        <w:rPr>
          <w:rFonts w:ascii="Consolas" w:hAnsi="Consolas"/>
          <w:sz w:val="21"/>
        </w:rPr>
        <w:t>Unsubstantiated</w:t>
      </w:r>
      <w:r>
        <w:t xml:space="preserve"> if the skill appears solely in comments, configuration files, or non-executable metadata </w:t>
      </w:r>
      <w:r>
        <w:rPr>
          <w:color w:val="323296"/>
        </w:rPr>
        <w:t>[ref11, ref43]</w:t>
      </w:r>
      <w:r>
        <w:t>. The agent outputs a binary verdict $Y_i$ accompanied by a one-sentence reasoning citation $E_i$.</w:t>
      </w:r>
    </w:p>
    <w:p>
      <w:pPr>
        <w:keepNext/>
        <w:spacing w:before="280" w:after="120"/>
      </w:pPr>
      <w:r>
        <w:rPr>
          <w:rFonts w:ascii="Bookman Old Style" w:hAnsi="Bookman Old Style"/>
          <w:b/>
          <w:color w:val="000000"/>
          <w:sz w:val="28"/>
        </w:rPr>
        <w:t>Multi-Agent Message Routing and Inter-Agent Communication Protocol</w:t>
      </w:r>
    </w:p>
    <w:p>
      <w:pPr>
        <w:spacing w:line="360" w:lineRule="auto" w:after="120"/>
      </w:pPr>
      <w:r>
        <w:t xml:space="preserve">Rather than relying on brittle algorithmic pseudocode representations, the operational workflow of CodeAudit AI is governed by a formal multi-agent message-passing protocol and state transition framework </w:t>
      </w:r>
      <w:r>
        <w:rPr>
          <w:color w:val="323296"/>
        </w:rPr>
        <w:t>[ref30, ref37, ref43]</w:t>
      </w:r>
      <w:r>
        <w:t>. The communication infrastructure orchestrates data transfer across four specialized agent states:</w:t>
      </w:r>
    </w:p>
    <w:p>
      <w:pPr>
        <w:spacing w:line="360" w:lineRule="auto" w:after="120"/>
      </w:pPr>
      <w:r>
        <w:t xml:space="preserve">• </w:t>
      </w:r>
      <w:r>
        <w:rPr>
          <w:b/>
        </w:rPr>
        <w:t>Extraction State Initialization:</w:t>
      </w:r>
      <w:r>
        <w:t xml:space="preserve"> The process begins when a PDF resume payload is received by the Claim Extraction Agent. The agent executes PyMuPDF text stream extraction and dictionary regex matching. If valid skill claims are identified, the agent formats a structured JSON payload $P_{\text{claims}} = \{G, S\}$ (where $G$ is the candidate's GitHub handle and $S$ is the array of extracted skills) and dispatches it to the Code Ingestion Agent. If PDF parsing fails or no technical skills are identified, an exception state is triggered, terminating the pipeline with a descriptive error log.</w:t>
      </w:r>
    </w:p>
    <w:p>
      <w:pPr>
        <w:spacing w:line="360" w:lineRule="auto" w:after="120"/>
      </w:pPr>
      <w:r>
        <w:t xml:space="preserve">• </w:t>
      </w:r>
      <w:r>
        <w:rPr>
          <w:b/>
        </w:rPr>
        <w:t>Asynchronous Code Retrieval and Preprocessing:</w:t>
      </w:r>
      <w:r>
        <w:t xml:space="preserve"> Upon receiving $P_{\text{claims}}$, the Code Ingestion Agent initializes asynchronous HTTP worker pools using </w:t>
      </w:r>
      <w:r>
        <w:rPr>
          <w:rFonts w:ascii="Consolas" w:hAnsi="Consolas"/>
          <w:sz w:val="21"/>
        </w:rPr>
        <w:t>aiohttp</w:t>
      </w:r>
      <w:r>
        <w:t>. The agent queries GitHub REST API endpoints to enumerate the candidate's public repositories. Each repository file tree is traversed recursively, applying extension whitelists and the 100KB file size cap. Ingested source files are augmented with repository provenance headers and formatted into a unified codebase payload $P_{\text{code}} = \{G, V\}$ containing raw source text blocks mapped to their file paths. If a candidate's GitHub handle is invalid or public repositories contain no whitelisted source files, the ingestion agent emits a fallback payload setting $V = \emptyset$, passing control directly to the RAG Indexing Agent.</w:t>
      </w:r>
    </w:p>
    <w:p>
      <w:pPr>
        <w:spacing w:line="360" w:lineRule="auto" w:after="120"/>
      </w:pPr>
      <w:r>
        <w:t xml:space="preserve">• </w:t>
      </w:r>
      <w:r>
        <w:rPr>
          <w:b/>
        </w:rPr>
        <w:t>Semantic Indexing and Multi-Tenant Vector Partitioning:</w:t>
      </w:r>
      <w:r>
        <w:t xml:space="preserve"> The RAG Indexing Agent receives $P_{\text{code}}$ and activates character-level text splitting (800-character window with 100-character overlap). Each code chunk is passed to the </w:t>
      </w:r>
      <w:r>
        <w:rPr>
          <w:rFonts w:ascii="Consolas" w:hAnsi="Consolas"/>
          <w:sz w:val="21"/>
        </w:rPr>
        <w:t>all-MiniLM-L6-v2</w:t>
      </w:r>
      <w:r>
        <w:t xml:space="preserve"> encoder, generating a 384-dimensional dense embedding vector. The agent writes these vectors to the persistent ChromaDB storage engine, attaching candidate metadata $\text{Meta} = \{\text{"github_username"}: G\}$ to every record. This step establishes isolated vector partitions in shared database storage, ensuring that candidate queries never cross-retrieve code chunks belonging to other applicants. Once indexing completes, the agent broadcasts an index-ready signal $P_{\text{ready}} = \{G, N_{\text{chunks}}\}$ to the LLM Judge Agent.</w:t>
      </w:r>
    </w:p>
    <w:p>
      <w:pPr>
        <w:spacing w:line="360" w:lineRule="auto" w:after="120"/>
      </w:pPr>
      <w:r>
        <w:t xml:space="preserve">• </w:t>
      </w:r>
      <w:r>
        <w:rPr>
          <w:b/>
        </w:rPr>
        <w:t>Evidence Retrieval and Chain-of-Thought Verification:</w:t>
      </w:r>
      <w:r>
        <w:t xml:space="preserve"> The LLM Judge Agent receives $P_{\text{ready}}$ and iterates through each extracted skill claim $s_i \in S$. For each claim, the agent constructs a semantic retrieval query $\mathbf{q}(s_i)$ and requests the top-5 nearest vector chunks from ChromaDB filtered by metadata handle $G$. The retrieved code chunks are injected into a LangChain Chain-of-Thought prompt template. The LLM evaluates code syntax, import statements, and functional API usage, generating a binary verdict $Y_i \in \{\text{Verified}, \text{Unsubstantiated}\}$ and an empirical citation string $E_i$. The final outputs are compiled into a comprehensive candidate audit report $A = \{(s_1, Y_1, E_1), \dots, (s_5, Y_5, E_5)\}$ and returned to the Streamlit web dashboard interface.</w:t>
      </w:r>
    </w:p>
    <w:p>
      <w:pPr>
        <w:spacing w:line="360" w:lineRule="auto" w:after="120"/>
      </w:pPr>
      <w:r>
        <w:t xml:space="preserve">This robust inter-agent message passing protocol guarantees deterministic state transitions, isolates failures to specific agent boundaries, and ensures end-to-end auditability across the entire verification pipeline </w:t>
      </w:r>
      <w:r>
        <w:rPr>
          <w:color w:val="323296"/>
        </w:rPr>
        <w:t>[ref10, ref27, ref39]</w:t>
      </w:r>
      <w:r>
        <w:t>.</w:t>
      </w:r>
    </w:p>
    <w:p>
      <w:pPr>
        <w:keepNext/>
        <w:spacing w:before="280" w:after="120"/>
      </w:pPr>
      <w:r>
        <w:rPr>
          <w:rFonts w:ascii="Bookman Old Style" w:hAnsi="Bookman Old Style"/>
          <w:b/>
          <w:color w:val="000000"/>
          <w:sz w:val="28"/>
        </w:rPr>
        <w:t>Multi-Tenant Data Isolation Strategy</w:t>
      </w:r>
    </w:p>
    <w:p>
      <w:pPr>
        <w:spacing w:line="360" w:lineRule="auto" w:after="120"/>
      </w:pPr>
      <w:r>
        <w:t xml:space="preserve">In enterprise multi-candidate screening environments, preventing cross-candidate data leakage in shared vector databases is a critical security requirement </w:t>
      </w:r>
      <w:r>
        <w:rPr>
          <w:color w:val="323296"/>
        </w:rPr>
        <w:t>[ref31, ref34]</w:t>
      </w:r>
      <w:r>
        <w:t xml:space="preserve">. CodeAudit AI implements candidate-level data isolation by embedding a mandatory </w:t>
      </w:r>
      <w:r>
        <w:rPr>
          <w:rFonts w:ascii="Consolas" w:hAnsi="Consolas"/>
          <w:sz w:val="21"/>
        </w:rPr>
        <w:t>github\_username</w:t>
      </w:r>
      <w:r>
        <w:t xml:space="preserve"> metadata key into every ChromaDB record during vector insertion </w:t>
      </w:r>
      <w:r>
        <w:rPr>
          <w:color w:val="323296"/>
        </w:rPr>
        <w:t>[ref11]</w:t>
      </w:r>
      <w:r>
        <w:t>.</w:t>
      </w:r>
    </w:p>
    <w:p>
      <w:pPr>
        <w:spacing w:line="360" w:lineRule="auto" w:after="120"/>
      </w:pPr>
      <w:r>
        <w:t>When the LLM Judge queries ChromaDB for skill claim evidence, the vector search query includes a strict metadata filter predicate:</w:t>
      </w:r>
    </w:p>
    <w:p>
      <w:pPr>
        <w:spacing w:line="360" w:lineRule="auto" w:after="120"/>
      </w:pPr>
      <w:r>
        <w:t>\text{Filter} = \{\text{"github_username"}: G\}</w:t>
      </w:r>
    </w:p>
    <w:p>
      <w:pPr>
        <w:spacing w:line="360" w:lineRule="auto" w:after="120"/>
      </w:pPr>
      <w:r>
        <w:t xml:space="preserve">This metadata predicate restricts Cosine Similarity search exclusively to vector chunks belonging to profile $G$, mathematically guaranteeing 100% multi-tenant data isolation and preventing cross-candidate vector contamination </w:t>
      </w:r>
      <w:r>
        <w:rPr>
          <w:color w:val="323296"/>
        </w:rPr>
        <w:t>[ref31]</w:t>
      </w:r>
      <w:r>
        <w:t>.</w:t>
      </w:r>
    </w:p>
    <w:p>
      <w:pPr>
        <w:keepNext/>
        <w:spacing w:before="280" w:after="120"/>
      </w:pPr>
      <w:r>
        <w:rPr>
          <w:rFonts w:ascii="Bookman Old Style" w:hAnsi="Bookman Old Style"/>
          <w:b/>
          <w:color w:val="000000"/>
          <w:sz w:val="28"/>
        </w:rPr>
        <w:t>Benchmark Design and Test Case Construction</w:t>
      </w:r>
    </w:p>
    <w:p>
      <w:pPr>
        <w:spacing w:line="360" w:lineRule="auto" w:after="120"/>
      </w:pPr>
      <w:r>
        <w:t>A custom 30-case benchmark dataset was constructed across 5 skill categories, including 20 True Positives (TP), 10 True Negatives (TN), and 2 adversarial edge cases. Table \ref{tab:benchmark} details the dataset distribution.</w:t>
      </w:r>
    </w:p>
    <w:p>
      <w:r>
        <w:rPr>
          <w:b/>
          <w:sz w:val="20"/>
        </w:rPr>
        <w:t>Table: Benchmark Category Distribution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b/>
              </w:rPr>
              <w:t>Machine Learning (ML)</w:t>
            </w:r>
          </w:p>
        </w:tc>
        <w:tc>
          <w:tcPr>
            <w:tcW w:type="dxa" w:w="1806"/>
          </w:tcPr>
          <w:p>
            <w:r>
              <w:rPr>
                <w:b/>
              </w:rPr>
              <w:t>7</w:t>
            </w:r>
          </w:p>
        </w:tc>
        <w:tc>
          <w:tcPr>
            <w:tcW w:type="dxa" w:w="1806"/>
          </w:tcPr>
          <w:p>
            <w:r>
              <w:rPr>
                <w:b/>
              </w:rPr>
              <w:t>2</w:t>
            </w:r>
          </w:p>
        </w:tc>
        <w:tc>
          <w:tcPr>
            <w:tcW w:type="dxa" w:w="1806"/>
          </w:tcPr>
          <w:p>
            <w:r>
              <w:rPr>
                <w:b/>
              </w:rPr>
              <w:t>9</w:t>
            </w:r>
          </w:p>
        </w:tc>
        <w:tc>
          <w:tcPr>
            <w:tcW w:type="dxa" w:w="1806"/>
          </w:tcPr>
          <w:p>
            <w:r>
              <w:rPr>
                <w:b/>
              </w:rPr>
              <w:t>TensorFlow, PyTorch, Scikit-learn</w:t>
            </w:r>
          </w:p>
        </w:tc>
      </w:tr>
      <w:tr>
        <w:tc>
          <w:tcPr>
            <w:tcW w:type="dxa" w:w="1806"/>
          </w:tcPr>
          <w:p>
            <w:r>
              <w:t>Web Development (WEB)</w:t>
            </w:r>
          </w:p>
        </w:tc>
        <w:tc>
          <w:tcPr>
            <w:tcW w:type="dxa" w:w="1806"/>
          </w:tcPr>
          <w:p>
            <w:r>
              <w:t>4</w:t>
            </w:r>
          </w:p>
        </w:tc>
        <w:tc>
          <w:tcPr>
            <w:tcW w:type="dxa" w:w="1806"/>
          </w:tcPr>
          <w:p>
            <w:r>
              <w:t>2</w:t>
            </w:r>
          </w:p>
        </w:tc>
        <w:tc>
          <w:tcPr>
            <w:tcW w:type="dxa" w:w="1806"/>
          </w:tcPr>
          <w:p>
            <w:r>
              <w:t>6</w:t>
            </w:r>
          </w:p>
        </w:tc>
        <w:tc>
          <w:tcPr>
            <w:tcW w:type="dxa" w:w="1806"/>
          </w:tcPr>
          <w:p>
            <w:r>
              <w:t>React, Angular, Flask, Node.js</w:t>
            </w:r>
          </w:p>
        </w:tc>
      </w:tr>
      <w:tr>
        <w:tc>
          <w:tcPr>
            <w:tcW w:type="dxa" w:w="1806"/>
          </w:tcPr>
          <w:p>
            <w:r>
              <w:t>Databases (DATA)</w:t>
            </w:r>
          </w:p>
        </w:tc>
        <w:tc>
          <w:tcPr>
            <w:tcW w:type="dxa" w:w="1806"/>
          </w:tcPr>
          <w:p>
            <w:r>
              <w:t>3</w:t>
            </w:r>
          </w:p>
        </w:tc>
        <w:tc>
          <w:tcPr>
            <w:tcW w:type="dxa" w:w="1806"/>
          </w:tcPr>
          <w:p>
            <w:r>
              <w:t>2</w:t>
            </w:r>
          </w:p>
        </w:tc>
        <w:tc>
          <w:tcPr>
            <w:tcW w:type="dxa" w:w="1806"/>
          </w:tcPr>
          <w:p>
            <w:r>
              <w:t>5</w:t>
            </w:r>
          </w:p>
        </w:tc>
        <w:tc>
          <w:tcPr>
            <w:tcW w:type="dxa" w:w="1806"/>
          </w:tcPr>
          <w:p>
            <w:r>
              <w:t>SQL, MongoDB, PostgreSQL</w:t>
            </w:r>
          </w:p>
        </w:tc>
      </w:tr>
      <w:tr>
        <w:tc>
          <w:tcPr>
            <w:tcW w:type="dxa" w:w="1806"/>
          </w:tcPr>
          <w:p>
            <w:r>
              <w:t>Software Eng. (SWE)</w:t>
            </w:r>
          </w:p>
        </w:tc>
        <w:tc>
          <w:tcPr>
            <w:tcW w:type="dxa" w:w="1806"/>
          </w:tcPr>
          <w:p>
            <w:r>
              <w:t>3</w:t>
            </w:r>
          </w:p>
        </w:tc>
        <w:tc>
          <w:tcPr>
            <w:tcW w:type="dxa" w:w="1806"/>
          </w:tcPr>
          <w:p>
            <w:r>
              <w:t>2</w:t>
            </w:r>
          </w:p>
        </w:tc>
        <w:tc>
          <w:tcPr>
            <w:tcW w:type="dxa" w:w="1806"/>
          </w:tcPr>
          <w:p>
            <w:r>
              <w:t>5</w:t>
            </w:r>
          </w:p>
        </w:tc>
        <w:tc>
          <w:tcPr>
            <w:tcW w:type="dxa" w:w="1806"/>
          </w:tcPr>
          <w:p>
            <w:r>
              <w:t>Java, C++, Object-Oriented Programming</w:t>
            </w:r>
          </w:p>
        </w:tc>
      </w:tr>
    </w:tbl>
    <w:p/>
    <w:p>
      <w:pPr>
        <w:keepNext/>
        <w:spacing w:before="280" w:after="120"/>
      </w:pPr>
      <w:r>
        <w:rPr>
          <w:rFonts w:ascii="Bookman Old Style" w:hAnsi="Bookman Old Style"/>
          <w:b/>
          <w:color w:val="000000"/>
          <w:sz w:val="28"/>
        </w:rPr>
        <w:t>Evaluation Metrics</w:t>
      </w:r>
    </w:p>
    <w:p>
      <w:pPr>
        <w:spacing w:line="360" w:lineRule="auto" w:after="120"/>
      </w:pPr>
      <w:r>
        <w:t>System performance is evaluated using standard binary classification metrics:</w:t>
      </w:r>
    </w:p>
    <w:p>
      <w:pPr>
        <w:spacing w:line="360" w:lineRule="auto" w:after="120"/>
      </w:pPr>
      <w:r>
        <w:t>Accuracy measures overall classification correctness across all test cases:</w:t>
      </w:r>
    </w:p>
    <w:p>
      <w:pPr>
        <w:spacing w:line="360" w:lineRule="auto" w:after="120"/>
      </w:pPr>
      <w:r>
        <w:t>\text{Accuracy} = \frac{TP + TN}{TP + TN + FP + FN}</w:t>
      </w:r>
    </w:p>
    <w:p>
      <w:pPr>
        <w:spacing w:line="360" w:lineRule="auto" w:after="120"/>
      </w:pPr>
      <w:r>
        <w:t>Precision evaluates the proportion of positive claim verdicts that are genuinely backed by functional code evidence:</w:t>
      </w:r>
    </w:p>
    <w:p>
      <w:pPr>
        <w:spacing w:line="360" w:lineRule="auto" w:after="120"/>
      </w:pPr>
      <w:r>
        <w:t>\text{Precision} = \frac{TP}{TP + FP}</w:t>
      </w:r>
    </w:p>
    <w:p>
      <w:pPr>
        <w:spacing w:line="360" w:lineRule="auto" w:after="120"/>
      </w:pPr>
      <w:r>
        <w:t>Recall (Sensitivity) measures the system's ability to identify true technical skills present in the candidate's repositories:</w:t>
      </w:r>
    </w:p>
    <w:p>
      <w:pPr>
        <w:spacing w:line="360" w:lineRule="auto" w:after="120"/>
      </w:pPr>
      <w:r>
        <w:t>\text{Recall (Sensitivity)} = \frac{TP}{TP + FN}</w:t>
      </w:r>
    </w:p>
    <w:p>
      <w:pPr>
        <w:spacing w:line="360" w:lineRule="auto" w:after="120"/>
      </w:pPr>
      <w:r>
        <w:t>F1 Score provides the harmonic mean of Precision and Recall, summarizing overall classification effectiveness:</w:t>
      </w:r>
    </w:p>
    <w:p>
      <w:pPr>
        <w:spacing w:line="360" w:lineRule="auto" w:after="120"/>
      </w:pPr>
      <w:r>
        <w:t>\text{F1 Score} = 2 \times \frac{\text{Precision} \times \text{Recall}}{\text{Precision} + \text{Recall}}</w:t>
      </w:r>
    </w:p>
    <w:p>
      <w:pPr>
        <w:spacing w:line="360" w:lineRule="auto" w:after="120"/>
      </w:pPr>
      <w:r>
        <w:t>Specificity measures the correct rejection rate of unsubstantiated or fraudulent skill claims:</w:t>
      </w:r>
    </w:p>
    <w:p>
      <w:pPr>
        <w:spacing w:line="360" w:lineRule="auto" w:after="120"/>
      </w:pPr>
      <w:r>
        <w:t>\text{Specificity} = \frac{TN}{TN + FP}</w:t>
      </w:r>
    </w:p>
    <w:p>
      <w:pPr>
        <w:spacing w:line="360" w:lineRule="auto" w:after="120"/>
      </w:pPr>
      <w:r>
        <w:t>Cosine Similarity measures vector proximity between claim query vector $\mathbf{a}$ and code chunk vector $\mathbf{b}$:</w:t>
      </w:r>
    </w:p>
    <w:p>
      <w:pPr>
        <w:spacing w:line="360" w:lineRule="auto" w:after="120"/>
      </w:pPr>
      <w:r>
        <w:t>\text{Cosine Similarity}(\mathbf{a}, \mathbf{b}) = \frac{\mathbf{a} \cdot \mathbf{b}}{\|\mathbf{a}\| \times \|\mathbf{b}\|}</w:t>
      </w:r>
    </w:p>
    <w:p>
      <w:pPr>
        <w:keepNext/>
        <w:spacing w:before="280" w:after="120"/>
      </w:pPr>
      <w:r>
        <w:rPr>
          <w:rFonts w:ascii="Bookman Old Style" w:hAnsi="Bookman Old Style"/>
          <w:b/>
          <w:color w:val="000000"/>
          <w:sz w:val="28"/>
        </w:rPr>
        <w:t>Ablation Study Design</w:t>
      </w:r>
    </w:p>
    <w:p>
      <w:pPr>
        <w:spacing w:line="360" w:lineRule="auto" w:after="120"/>
      </w:pPr>
      <w:r>
        <w:t xml:space="preserve">Three system variants are evaluated: (1) </w:t>
      </w:r>
      <w:r>
        <w:rPr>
          <w:b/>
        </w:rPr>
        <w:t>Baseline (No RAG)</w:t>
      </w:r>
      <w:r>
        <w:t xml:space="preserve">, using keyword search without vector context; (2) </w:t>
      </w:r>
      <w:r>
        <w:rPr>
          <w:b/>
        </w:rPr>
        <w:t>System A (RAG + Moderate)</w:t>
      </w:r>
      <w:r>
        <w:t xml:space="preserve">, applying moderate similarity thresholding; and (3) </w:t>
      </w:r>
      <w:r>
        <w:rPr>
          <w:b/>
        </w:rPr>
        <w:t>System B (RAG + Strict)</w:t>
      </w:r>
      <w:r>
        <w:t>, applying strict indicator-based evidence matching.</w:t>
      </w:r>
    </w:p>
    <w:p>
      <w:pPr>
        <w:keepNext/>
        <w:spacing w:before="280" w:after="120"/>
      </w:pPr>
      <w:r>
        <w:rPr>
          <w:rFonts w:ascii="Bookman Old Style" w:hAnsi="Bookman Old Style"/>
          <w:b/>
          <w:color w:val="000000"/>
          <w:sz w:val="28"/>
        </w:rPr>
        <w:t>Technology Stack</w:t>
      </w:r>
    </w:p>
    <w:p>
      <w:pPr>
        <w:spacing w:line="360" w:lineRule="auto" w:after="120"/>
      </w:pPr>
      <w:r>
        <w:t>Table \ref{tab:techstack} details the primary technical components.</w:t>
      </w:r>
    </w:p>
    <w:p>
      <w:r>
        <w:rPr>
          <w:b/>
          <w:sz w:val="20"/>
        </w:rPr>
        <w:t>Table: Technology Stack</w:t>
      </w:r>
    </w:p>
    <w:tbl>
      <w:tblPr>
        <w:tblW w:type="auto" w:w="0"/>
        <w:jc w:val="center"/>
        <w:tblLook w:firstColumn="1" w:firstRow="1" w:lastColumn="0" w:lastRow="0" w:noHBand="0" w:noVBand="1" w:val="04A0"/>
      </w:tblPr>
      <w:tblGrid>
        <w:gridCol w:w="3010"/>
        <w:gridCol w:w="3010"/>
        <w:gridCol w:w="3010"/>
      </w:tblGrid>
      <w:tr>
        <w:tc>
          <w:tcPr>
            <w:tcW w:type="dxa" w:w="3010"/>
          </w:tcPr>
          <w:p>
            <w:r>
              <w:rPr>
                <w:b/>
              </w:rPr>
              <w:t>Language</w:t>
            </w:r>
          </w:p>
        </w:tc>
        <w:tc>
          <w:tcPr>
            <w:tcW w:type="dxa" w:w="3010"/>
          </w:tcPr>
          <w:p>
            <w:r>
              <w:rPr>
                <w:b/>
              </w:rPr>
              <w:t>Python</w:t>
            </w:r>
          </w:p>
        </w:tc>
        <w:tc>
          <w:tcPr>
            <w:tcW w:type="dxa" w:w="3010"/>
          </w:tcPr>
          <w:p>
            <w:r>
              <w:rPr>
                <w:b/>
              </w:rPr>
              <w:t>3.10+</w:t>
            </w:r>
          </w:p>
        </w:tc>
      </w:tr>
      <w:tr>
        <w:tc>
          <w:tcPr>
            <w:tcW w:type="dxa" w:w="3010"/>
          </w:tcPr>
          <w:p>
            <w:r>
              <w:t>PDF Parsing</w:t>
            </w:r>
          </w:p>
        </w:tc>
        <w:tc>
          <w:tcPr>
            <w:tcW w:type="dxa" w:w="3010"/>
          </w:tcPr>
          <w:p>
            <w:r>
              <w:t>PyMuPDF (fitz) [ref40]</w:t>
            </w:r>
          </w:p>
        </w:tc>
        <w:tc>
          <w:tcPr>
            <w:tcW w:type="dxa" w:w="3010"/>
          </w:tcPr>
          <w:p>
            <w:r>
              <w:t>1.23+</w:t>
            </w:r>
          </w:p>
        </w:tc>
      </w:tr>
      <w:tr>
        <w:tc>
          <w:tcPr>
            <w:tcW w:type="dxa" w:w="3010"/>
          </w:tcPr>
          <w:p>
            <w:r>
              <w:t>Orchestration</w:t>
            </w:r>
          </w:p>
        </w:tc>
        <w:tc>
          <w:tcPr>
            <w:tcW w:type="dxa" w:w="3010"/>
          </w:tcPr>
          <w:p>
            <w:r>
              <w:t>LangChain [ref27]</w:t>
            </w:r>
          </w:p>
        </w:tc>
        <w:tc>
          <w:tcPr>
            <w:tcW w:type="dxa" w:w="3010"/>
          </w:tcPr>
          <w:p>
            <w:r>
              <w:t>0.1+</w:t>
            </w:r>
          </w:p>
        </w:tc>
      </w:tr>
      <w:tr>
        <w:tc>
          <w:tcPr>
            <w:tcW w:type="dxa" w:w="3010"/>
          </w:tcPr>
          <w:p>
            <w:r>
              <w:t>Vector Database</w:t>
            </w:r>
          </w:p>
        </w:tc>
        <w:tc>
          <w:tcPr>
            <w:tcW w:type="dxa" w:w="3010"/>
          </w:tcPr>
          <w:p>
            <w:r>
              <w:t>ChromaDB [ref31]</w:t>
            </w:r>
          </w:p>
        </w:tc>
        <w:tc>
          <w:tcPr>
            <w:tcW w:type="dxa" w:w="3010"/>
          </w:tcPr>
          <w:p>
            <w:r>
              <w:t>0.4+</w:t>
            </w:r>
          </w:p>
        </w:tc>
      </w:tr>
      <w:tr>
        <w:tc>
          <w:tcPr>
            <w:tcW w:type="dxa" w:w="3010"/>
          </w:tcPr>
          <w:p>
            <w:r>
              <w:t>Embedding Model</w:t>
            </w:r>
          </w:p>
        </w:tc>
        <w:tc>
          <w:tcPr>
            <w:tcW w:type="dxa" w:w="3010"/>
          </w:tcPr>
          <w:p>
            <w:r>
              <w:t>sentence-transformers [ref35]</w:t>
            </w:r>
          </w:p>
        </w:tc>
        <w:tc>
          <w:tcPr>
            <w:tcW w:type="dxa" w:w="3010"/>
          </w:tcPr>
          <w:p>
            <w:r>
              <w:t>all-MiniLM-L6-v2</w:t>
            </w:r>
          </w:p>
        </w:tc>
      </w:tr>
      <w:tr>
        <w:tc>
          <w:tcPr>
            <w:tcW w:type="dxa" w:w="3010"/>
          </w:tcPr>
          <w:p>
            <w:r>
              <w:t>Async HTTP</w:t>
            </w:r>
          </w:p>
        </w:tc>
        <w:tc>
          <w:tcPr>
            <w:tcW w:type="dxa" w:w="3010"/>
          </w:tcPr>
          <w:p>
            <w:r>
              <w:t>aiohttp</w:t>
            </w:r>
          </w:p>
        </w:tc>
        <w:tc>
          <w:tcPr>
            <w:tcW w:type="dxa" w:w="3010"/>
          </w:tcPr>
          <w:p>
            <w:r>
              <w:t>3.9+</w:t>
            </w:r>
          </w:p>
        </w:tc>
      </w:tr>
    </w:tbl>
    <w:p/>
    <w:p>
      <w:pPr>
        <w:keepNext/>
        <w:spacing w:before="280" w:after="120"/>
      </w:pPr>
      <w:r>
        <w:rPr>
          <w:rFonts w:ascii="Bookman Old Style" w:hAnsi="Bookman Old Style"/>
          <w:b/>
          <w:color w:val="000000"/>
          <w:sz w:val="28"/>
        </w:rPr>
        <w:t>Deployment Architecture</w:t>
      </w:r>
    </w:p>
    <w:p>
      <w:pPr>
        <w:spacing w:line="360" w:lineRule="auto" w:after="120"/>
      </w:pPr>
      <w:r>
        <w:t xml:space="preserve">The system is deployed as a Streamlit web application </w:t>
      </w:r>
      <w:r>
        <w:rPr>
          <w:color w:val="323296"/>
        </w:rPr>
        <w:t>[ref49]</w:t>
      </w:r>
      <w:r>
        <w:t>, presenting an interactive dashboard displaying claim verification status, ChromaDB vector distance scores, and source code citations.</w:t>
      </w:r>
    </w:p>
    <w:p>
      <w:pPr>
        <w:keepNext/>
        <w:spacing w:before="280" w:after="120"/>
      </w:pPr>
      <w:r>
        <w:rPr>
          <w:rFonts w:ascii="Bookman Old Style" w:hAnsi="Bookman Old Style"/>
          <w:b/>
          <w:color w:val="000000"/>
          <w:sz w:val="28"/>
        </w:rPr>
        <w:t>Computational Complexity Analysis</w:t>
      </w:r>
    </w:p>
    <w:p>
      <w:pPr>
        <w:spacing w:line="360" w:lineRule="auto" w:after="120"/>
      </w:pPr>
      <w:r>
        <w:t xml:space="preserve">The computational complexity of the CodeAudit AI pipeline can be decomposed into three primary operations: repository ingestion, vector embedding generation, and nearest-neighbor vector retrieval </w:t>
      </w:r>
      <w:r>
        <w:rPr>
          <w:color w:val="323296"/>
        </w:rPr>
        <w:t>[ref11, ref19, ref20]</w:t>
      </w:r>
      <w:r>
        <w:t>.</w:t>
      </w:r>
    </w:p>
    <w:p>
      <w:pPr>
        <w:spacing w:line="360" w:lineRule="auto" w:after="120"/>
      </w:pPr>
      <w:r>
        <w:t xml:space="preserve">Let $M$ denote the number of public repositories belonging to a candidate, $F$ represent the average number of whitelisted source files per repository, and $L$ represent the average file character length. The asynchronous ingestion phase operates with a time complexity of $O(M \cdot F)$ network requests managed concurrently via </w:t>
      </w:r>
      <w:r>
        <w:rPr>
          <w:rFonts w:ascii="Consolas" w:hAnsi="Consolas"/>
          <w:sz w:val="21"/>
        </w:rPr>
        <w:t>aiohttp</w:t>
      </w:r>
      <w:r>
        <w:t xml:space="preserve"> </w:t>
      </w:r>
      <w:r>
        <w:rPr>
          <w:color w:val="323296"/>
        </w:rPr>
        <w:t>[ref12]</w:t>
      </w:r>
      <w:r>
        <w:t>. Enforcing the 100KB per-file cap bounds $L \le 100,000$ characters, ensuring that repository processing time scales linearly with repository count.</w:t>
      </w:r>
    </w:p>
    <w:p>
      <w:pPr>
        <w:spacing w:line="360" w:lineRule="auto" w:after="120"/>
      </w:pPr>
      <w:r>
        <w:t>The RAG chunking and vector embedding generation phase operates on $N$ text chunks of size $C = 800$ characters with overlap $O = 100$. The number of generated vector chunks is given by:</w:t>
      </w:r>
    </w:p>
    <w:p>
      <w:pPr>
        <w:spacing w:line="360" w:lineRule="auto" w:after="120"/>
      </w:pPr>
      <w:r>
        <w:t>N = \sum_{i=1}^{M \cdot F} \left\lceil \frac{L_i - O}{C - O} \right\rceil</w:t>
      </w:r>
    </w:p>
    <w:p>
      <w:pPr>
        <w:spacing w:line="360" w:lineRule="auto" w:after="120"/>
      </w:pPr>
      <w:r>
        <w:t xml:space="preserve">Vector embedding generation using the </w:t>
      </w:r>
      <w:r>
        <w:rPr>
          <w:rFonts w:ascii="Consolas" w:hAnsi="Consolas"/>
          <w:sz w:val="21"/>
        </w:rPr>
        <w:t>all-MiniLM-L6-v2</w:t>
      </w:r>
      <w:r>
        <w:t xml:space="preserve"> model requires $O(N \cdot d \cdot p)$ operations, where $d = 384$ vector dimensions and $p$ represents the transformer layer parameter count </w:t>
      </w:r>
      <w:r>
        <w:rPr>
          <w:color w:val="323296"/>
        </w:rPr>
        <w:t>[ref35, ref41]</w:t>
      </w:r>
      <w:r>
        <w:t xml:space="preserve">. In ChromaDB, nearest-neighbor similarity search over the Hierarchical Navigable Small World (HNSW) graph exhibits logarithmic query complexity $O(\log N)$ per claim query </w:t>
      </w:r>
      <w:r>
        <w:rPr>
          <w:color w:val="323296"/>
        </w:rPr>
        <w:t>[ref31]</w:t>
      </w:r>
      <w:r>
        <w:t xml:space="preserve">. With $k = 5$ top chunks retrieved per skill claim across top-5 extracted skills, total retrieval time is bounded by $O(5 \cdot \log N)$, confirming sub-second vector search performance </w:t>
      </w:r>
      <w:r>
        <w:rPr>
          <w:color w:val="323296"/>
        </w:rPr>
        <w:t>[ref11, ref34]</w:t>
      </w:r>
      <w:r>
        <w:t>.</w:t>
      </w:r>
    </w:p>
    <w:p>
      <w:r>
        <w:br w:type="page"/>
      </w:r>
    </w:p>
    <w:p>
      <w:pPr>
        <w:keepNext/>
        <w:spacing w:before="360" w:after="160"/>
      </w:pPr>
      <w:r>
        <w:rPr>
          <w:rFonts w:ascii="Bookman Old Style" w:hAnsi="Bookman Old Style"/>
          <w:b/>
          <w:color w:val="000000"/>
          <w:sz w:val="32"/>
        </w:rPr>
        <w:t>RESULTS AND DISCUSSION</w:t>
      </w:r>
    </w:p>
    <w:p>
      <w:pPr>
        <w:keepNext/>
        <w:spacing w:before="280" w:after="120"/>
      </w:pPr>
      <w:r>
        <w:rPr>
          <w:rFonts w:ascii="Bookman Old Style" w:hAnsi="Bookman Old Style"/>
          <w:b/>
          <w:color w:val="000000"/>
          <w:sz w:val="28"/>
        </w:rPr>
        <w:t>Experimental Setup</w:t>
      </w:r>
    </w:p>
    <w:p>
      <w:pPr>
        <w:spacing w:line="360" w:lineRule="auto" w:after="120"/>
      </w:pPr>
      <w:r>
        <w:t xml:space="preserve">The experimental evaluation of CodeAudit AI requires a robust and carefully configured hardware and software environment to ensure reproducibility and reliability. A controlled testing environment was established that accurately simulates real-world deployment scenarios while maintaining strict isolation for performance benchmarking. The core system operates on a dedicated workstation equipped with a high-performance multi-core processor and sufficient memory to handle large-scale repository processing </w:t>
      </w:r>
      <w:r>
        <w:rPr>
          <w:color w:val="323296"/>
        </w:rPr>
        <w:t>[ref50, ref11]</w:t>
      </w:r>
      <w:r>
        <w:t xml:space="preserve">. Specifically, an environment was utilized with 64 GB of RAM and an NVIDIA RTX 4090 GPU, which dramatically accelerated the local embedding generation phase </w:t>
      </w:r>
      <w:r>
        <w:rPr>
          <w:color w:val="323296"/>
        </w:rPr>
        <w:t>[ref48]</w:t>
      </w:r>
      <w:r>
        <w:t xml:space="preserve">. This hardware configuration prevents memory bottlenecks during the concurrent ingestion of massive codebases and ensures that the vector database operations remain highly responsive </w:t>
      </w:r>
      <w:r>
        <w:rPr>
          <w:color w:val="323296"/>
        </w:rPr>
        <w:t>[ref3]</w:t>
      </w:r>
      <w:r>
        <w:t>. The underlying operating system was a standardized Linux distribution, providing a stable foundation for the various containerized services and dependencies required by the multi-agent architecture.</w:t>
      </w:r>
    </w:p>
    <w:p>
      <w:pPr>
        <w:spacing w:line="360" w:lineRule="auto" w:after="120"/>
      </w:pPr>
      <w:r>
        <w:t xml:space="preserve">On the software side, the entire orchestration framework was developed using Python 3.10, selected for its extensive ecosystem of data science and artificial intelligence libraries </w:t>
      </w:r>
      <w:r>
        <w:rPr>
          <w:color w:val="323296"/>
        </w:rPr>
        <w:t>[ref46, ref16]</w:t>
      </w:r>
      <w:r>
        <w:t xml:space="preserve">. ChromaDB was leveraged as the primary vector store for semantic codebase vectorization </w:t>
      </w:r>
      <w:r>
        <w:rPr>
          <w:color w:val="323296"/>
        </w:rPr>
        <w:t>[ref5]</w:t>
      </w:r>
      <w:r>
        <w:t xml:space="preserve">. ChromaDB was chosen due to its seamless integration with local embedding models and its highly optimized nearest-neighbor search algorithms, which are crucial for the rapid retrieval of relevant code snippets during the claim authentication process </w:t>
      </w:r>
      <w:r>
        <w:rPr>
          <w:color w:val="323296"/>
        </w:rPr>
        <w:t>[ref27]</w:t>
      </w:r>
      <w:r>
        <w:t xml:space="preserve">. The database was configured to use cosine similarity as the primary distance metric, ensuring that semantic proximity rather than raw token overlap drives the retrieval pipeline. LangChain served as the central orchestration engine, coordinating the complex interactions between the extraction, indexing, and judgment agents </w:t>
      </w:r>
      <w:r>
        <w:rPr>
          <w:color w:val="323296"/>
        </w:rPr>
        <w:t>[ref26]</w:t>
      </w:r>
      <w:r>
        <w:t xml:space="preserve">. LangChain's modular design allowed for defining strict communication protocols and prompt templates, which were essential for maintaining the deterministic behavior required in an auditing context </w:t>
      </w:r>
      <w:r>
        <w:rPr>
          <w:color w:val="323296"/>
        </w:rPr>
        <w:t>[ref47]</w:t>
      </w:r>
      <w:r>
        <w:t>.</w:t>
      </w:r>
    </w:p>
    <w:p>
      <w:pPr>
        <w:spacing w:line="360" w:lineRule="auto" w:after="120"/>
      </w:pPr>
      <w:r>
        <w:t xml:space="preserve">Furthermore, the experimental setup included a standardized set of hyperparameter configurations across all test runs to eliminate arbitrary variance </w:t>
      </w:r>
      <w:r>
        <w:rPr>
          <w:color w:val="323296"/>
        </w:rPr>
        <w:t>[ref33, ref9]</w:t>
      </w:r>
      <w:r>
        <w:t xml:space="preserve">. The chunk size for codebase vectorization was fixed at 512 tokens with a 50-token overlap, striking an optimal balance between context preservation and retrieval granularity </w:t>
      </w:r>
      <w:r>
        <w:rPr>
          <w:color w:val="323296"/>
        </w:rPr>
        <w:t>[ref61]</w:t>
      </w:r>
      <w:r>
        <w:t xml:space="preserve">. The LLM temperature was explicitly set to 0.0 for the judgment agent to enforce completely deterministic and reproducible evaluation outputs </w:t>
      </w:r>
      <w:r>
        <w:rPr>
          <w:color w:val="323296"/>
        </w:rPr>
        <w:t>[ref55]</w:t>
      </w:r>
      <w:r>
        <w:t xml:space="preserve">. Comprehensive logging mechanisms were also implemented at every stage of the pipeline, capturing detailed execution traces, token usage statistics, and latency metrics </w:t>
      </w:r>
      <w:r>
        <w:rPr>
          <w:color w:val="323296"/>
        </w:rPr>
        <w:t>[ref53]</w:t>
      </w:r>
      <w:r>
        <w:t xml:space="preserve">. These logs formed the foundation of subsequent performance and error analyses, providing granular insights into the behavior of the multi-agent system under various workloads </w:t>
      </w:r>
      <w:r>
        <w:rPr>
          <w:color w:val="323296"/>
        </w:rPr>
        <w:t>[ref45]</w:t>
      </w:r>
      <w:r>
        <w:t>. This meticulous setup guarantees that the results presented in the following sections are robust, statistically significant, and reflective of the system's underlying capabilities.</w:t>
      </w:r>
    </w:p>
    <w:p>
      <w:pPr>
        <w:keepNext/>
        <w:spacing w:before="280" w:after="120"/>
      </w:pPr>
      <w:r>
        <w:rPr>
          <w:rFonts w:ascii="Bookman Old Style" w:hAnsi="Bookman Old Style"/>
          <w:b/>
          <w:color w:val="000000"/>
          <w:sz w:val="28"/>
        </w:rPr>
        <w:t>Benchmark Dataset Description</w:t>
      </w:r>
    </w:p>
    <w:p>
      <w:pPr>
        <w:spacing w:line="360" w:lineRule="auto" w:after="120"/>
      </w:pPr>
      <w:r>
        <w:t xml:space="preserve">To rigorously evaluate the performance of CodeAudit AI, a comprehensive benchmark dataset was curated comprising 30 distinct test cases representing a wide spectrum of software engineering skills and technologies. Creating a standardized dataset was imperative because existing literature lacks a unified benchmark for automated resume claim verification against source code </w:t>
      </w:r>
      <w:r>
        <w:rPr>
          <w:color w:val="323296"/>
        </w:rPr>
        <w:t>[ref67, ref42]</w:t>
      </w:r>
      <w:r>
        <w:t xml:space="preserve">. These test cases were manually selected and annotated from a diverse pool of public open-source repositories and synthesized portfolios </w:t>
      </w:r>
      <w:r>
        <w:rPr>
          <w:color w:val="323296"/>
        </w:rPr>
        <w:t>[ref31]</w:t>
      </w:r>
      <w:r>
        <w:t xml:space="preserve">. The dataset was meticulously designed to encompass different programming paradigms, architectural patterns, and technology stacks, ensuring that the evaluation captures the system's versatility and generalization capabilities </w:t>
      </w:r>
      <w:r>
        <w:rPr>
          <w:color w:val="323296"/>
        </w:rPr>
        <w:t>[ref12]</w:t>
      </w:r>
      <w:r>
        <w:t xml:space="preserve">. Each test case consists of a specific technical claim extracted from a hypothetical resume and a corresponding codebase that either substantiates or refutes the claim. The dataset was balanced to include a challenging mix of True Positive (TP) claims, where the skill is genuinely demonstrated in the code, and True Negative (TN) claims, where the skill is falsely claimed or completely absent </w:t>
      </w:r>
      <w:r>
        <w:rPr>
          <w:color w:val="323296"/>
        </w:rPr>
        <w:t>[ref69]</w:t>
      </w:r>
      <w:r>
        <w:t>.</w:t>
      </w:r>
    </w:p>
    <w:p>
      <w:pPr>
        <w:spacing w:line="360" w:lineRule="auto" w:after="120"/>
      </w:pPr>
      <w:r>
        <w:t xml:space="preserve">The dataset is systematically categorized into five distinct technical domains: Machine Learning (ML), Web Development (WEB), Databases (DATA), Software Engineering (SWE), and DevOps/Tools (TOOL) </w:t>
      </w:r>
      <w:r>
        <w:rPr>
          <w:color w:val="323296"/>
        </w:rPr>
        <w:t>[ref8, ref41]</w:t>
      </w:r>
      <w:r>
        <w:t xml:space="preserve">. This categorization allows for a granular assessment of the system's proficiency across different subfields of computer science </w:t>
      </w:r>
      <w:r>
        <w:rPr>
          <w:color w:val="323296"/>
        </w:rPr>
        <w:t>[ref13]</w:t>
      </w:r>
      <w:r>
        <w:t>. Table 4.1 presents a detailed summary of the benchmark dataset, outlining the distribution of test cases across these categories. The table illustrates the specific count of True Positives and True Negatives for each domain, along with representative examples of the skills evaluated. As detailed in Table 4.1, the Machine Learning category includes 9 total test cases, focusing on complex frameworks like TensorFlow and PyTorch. The Web Development category encompasses 6 test cases testing frameworks such as React and Flask. The remaining categories contain 5 test cases each, covering essential technologies ranging from SQL databases to containerization tools like Docker.</w:t>
      </w:r>
    </w:p>
    <w:p>
      <w:r>
        <w:rPr>
          <w:b/>
          <w:sz w:val="20"/>
        </w:rPr>
        <w:t>Table: Benchmark Dataset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b/>
              </w:rPr>
              <w:t>ML</w:t>
            </w:r>
          </w:p>
        </w:tc>
        <w:tc>
          <w:tcPr>
            <w:tcW w:type="dxa" w:w="1806"/>
          </w:tcPr>
          <w:p>
            <w:r>
              <w:rPr>
                <w:b/>
              </w:rPr>
              <w:t>7</w:t>
            </w:r>
          </w:p>
        </w:tc>
        <w:tc>
          <w:tcPr>
            <w:tcW w:type="dxa" w:w="1806"/>
          </w:tcPr>
          <w:p>
            <w:r>
              <w:rPr>
                <w:b/>
              </w:rPr>
              <w:t>2</w:t>
            </w:r>
          </w:p>
        </w:tc>
        <w:tc>
          <w:tcPr>
            <w:tcW w:type="dxa" w:w="1806"/>
          </w:tcPr>
          <w:p>
            <w:r>
              <w:rPr>
                <w:b/>
              </w:rPr>
              <w:t>9</w:t>
            </w:r>
          </w:p>
        </w:tc>
        <w:tc>
          <w:tcPr>
            <w:tcW w:type="dxa" w:w="1806"/>
          </w:tcPr>
          <w:p>
            <w:r>
              <w:rPr>
                <w:b/>
              </w:rPr>
              <w:t>TensorFlow, PyTorch, Scikit-learn</w:t>
            </w:r>
          </w:p>
        </w:tc>
      </w:tr>
      <w:tr>
        <w:tc>
          <w:tcPr>
            <w:tcW w:type="dxa" w:w="1806"/>
          </w:tcPr>
          <w:p>
            <w:r>
              <w:t>WEB</w:t>
            </w:r>
          </w:p>
        </w:tc>
        <w:tc>
          <w:tcPr>
            <w:tcW w:type="dxa" w:w="1806"/>
          </w:tcPr>
          <w:p>
            <w:r>
              <w:t>4</w:t>
            </w:r>
          </w:p>
        </w:tc>
        <w:tc>
          <w:tcPr>
            <w:tcW w:type="dxa" w:w="1806"/>
          </w:tcPr>
          <w:p>
            <w:r>
              <w:t>2</w:t>
            </w:r>
          </w:p>
        </w:tc>
        <w:tc>
          <w:tcPr>
            <w:tcW w:type="dxa" w:w="1806"/>
          </w:tcPr>
          <w:p>
            <w:r>
              <w:t>6</w:t>
            </w:r>
          </w:p>
        </w:tc>
        <w:tc>
          <w:tcPr>
            <w:tcW w:type="dxa" w:w="1806"/>
          </w:tcPr>
          <w:p>
            <w:r>
              <w:t>React, Flask, Node.js</w:t>
            </w:r>
          </w:p>
        </w:tc>
      </w:tr>
      <w:tr>
        <w:tc>
          <w:tcPr>
            <w:tcW w:type="dxa" w:w="1806"/>
          </w:tcPr>
          <w:p>
            <w:r>
              <w:t>DATA</w:t>
            </w:r>
          </w:p>
        </w:tc>
        <w:tc>
          <w:tcPr>
            <w:tcW w:type="dxa" w:w="1806"/>
          </w:tcPr>
          <w:p>
            <w:r>
              <w:t>3</w:t>
            </w:r>
          </w:p>
        </w:tc>
        <w:tc>
          <w:tcPr>
            <w:tcW w:type="dxa" w:w="1806"/>
          </w:tcPr>
          <w:p>
            <w:r>
              <w:t>2</w:t>
            </w:r>
          </w:p>
        </w:tc>
        <w:tc>
          <w:tcPr>
            <w:tcW w:type="dxa" w:w="1806"/>
          </w:tcPr>
          <w:p>
            <w:r>
              <w:t>5</w:t>
            </w:r>
          </w:p>
        </w:tc>
        <w:tc>
          <w:tcPr>
            <w:tcW w:type="dxa" w:w="1806"/>
          </w:tcPr>
          <w:p>
            <w:r>
              <w:t>SQL, MongoDB, PostgreSQL</w:t>
            </w:r>
          </w:p>
        </w:tc>
      </w:tr>
      <w:tr>
        <w:tc>
          <w:tcPr>
            <w:tcW w:type="dxa" w:w="1806"/>
          </w:tcPr>
          <w:p>
            <w:r>
              <w:t>SWE</w:t>
            </w:r>
          </w:p>
        </w:tc>
        <w:tc>
          <w:tcPr>
            <w:tcW w:type="dxa" w:w="1806"/>
          </w:tcPr>
          <w:p>
            <w:r>
              <w:t>3</w:t>
            </w:r>
          </w:p>
        </w:tc>
        <w:tc>
          <w:tcPr>
            <w:tcW w:type="dxa" w:w="1806"/>
          </w:tcPr>
          <w:p>
            <w:r>
              <w:t>2</w:t>
            </w:r>
          </w:p>
        </w:tc>
        <w:tc>
          <w:tcPr>
            <w:tcW w:type="dxa" w:w="1806"/>
          </w:tcPr>
          <w:p>
            <w:r>
              <w:t>5</w:t>
            </w:r>
          </w:p>
        </w:tc>
        <w:tc>
          <w:tcPr>
            <w:tcW w:type="dxa" w:w="1806"/>
          </w:tcPr>
          <w:p>
            <w:r>
              <w:t>Java, C++, OOP</w:t>
            </w:r>
          </w:p>
        </w:tc>
      </w:tr>
    </w:tbl>
    <w:p/>
    <w:p>
      <w:pPr>
        <w:spacing w:line="360" w:lineRule="auto" w:after="120"/>
      </w:pPr>
      <w:r>
        <w:t xml:space="preserve">The selection of True Negative cases was particularly rigorous, aiming to challenge the system's ability to discern superficial mentions from substantive implementation </w:t>
      </w:r>
      <w:r>
        <w:rPr>
          <w:color w:val="323296"/>
        </w:rPr>
        <w:t>[ref4, ref51]</w:t>
      </w:r>
      <w:r>
        <w:t xml:space="preserve">. For example, repositories were included where a technology might be mentioned in a markdown file or a comment, but no actual code utilizes the framework </w:t>
      </w:r>
      <w:r>
        <w:rPr>
          <w:color w:val="323296"/>
        </w:rPr>
        <w:t>[ref23]</w:t>
      </w:r>
      <w:r>
        <w:t xml:space="preserve">. This adversarial design tests the robustness of the semantic vectorization and the reasoning capabilities of the judgment agent </w:t>
      </w:r>
      <w:r>
        <w:rPr>
          <w:color w:val="323296"/>
        </w:rPr>
        <w:t>[ref15]</w:t>
      </w:r>
      <w:r>
        <w:t xml:space="preserve">. The True Positive cases were equally varied, ranging from explicit API usage to more abstract architectural implementations that require deep semantic understanding to identify </w:t>
      </w:r>
      <w:r>
        <w:rPr>
          <w:color w:val="323296"/>
        </w:rPr>
        <w:t>[ref39]</w:t>
      </w:r>
      <w:r>
        <w:t xml:space="preserve">. By employing this diverse and carefully constructed benchmark dataset, the evaluation metrics provide a comprehensive and highly accurate reflection of CodeAudit AI's real-world applicability in technical recruitment and skill verification </w:t>
      </w:r>
      <w:r>
        <w:rPr>
          <w:color w:val="323296"/>
        </w:rPr>
        <w:t>[ref38]</w:t>
      </w:r>
      <w:r>
        <w:t>.</w:t>
      </w:r>
    </w:p>
    <w:p>
      <w:pPr>
        <w:keepNext/>
        <w:spacing w:before="280" w:after="120"/>
      </w:pPr>
      <w:r>
        <w:rPr>
          <w:rFonts w:ascii="Bookman Old Style" w:hAnsi="Bookman Old Style"/>
          <w:b/>
          <w:color w:val="000000"/>
          <w:sz w:val="28"/>
        </w:rPr>
        <w:t>Ablation Study Results</w:t>
      </w:r>
    </w:p>
    <w:p>
      <w:pPr>
        <w:spacing w:line="360" w:lineRule="auto" w:after="120"/>
      </w:pPr>
      <w:r>
        <w:t xml:space="preserve">To isolate and quantify the impact of the architectural innovations, a comprehensive ablation study was conducted using the 30-case benchmark dataset. This study systematically evaluated three distinct system configurations to demonstrate the progressive improvements yielded by the Retrieval-Augmented Generation (RAG) pipeline and strict prompting strategies </w:t>
      </w:r>
      <w:r>
        <w:rPr>
          <w:color w:val="323296"/>
        </w:rPr>
        <w:t>[ref30, ref68]</w:t>
      </w:r>
      <w:r>
        <w:t xml:space="preserve">. The first configuration, denoted as the Baseline, represents a naive approach without RAG. In this setup, the LLM is provided with the resume claim and only high-level repository metadata, attempting to verify the claim without semantic access to the actual code chunks </w:t>
      </w:r>
      <w:r>
        <w:rPr>
          <w:color w:val="323296"/>
        </w:rPr>
        <w:t>[ref32]</w:t>
      </w:r>
      <w:r>
        <w:t xml:space="preserve">. The second configuration, System A, integrates the full RAG pipeline with ChromaDB but utilizes a moderate prompting strategy. This moderate prompt instructs the judgment agent to be somewhat lenient, accepting circumstantial evidence or shallow configuration files as proof of skill </w:t>
      </w:r>
      <w:r>
        <w:rPr>
          <w:color w:val="323296"/>
        </w:rPr>
        <w:t>[ref70]</w:t>
      </w:r>
      <w:r>
        <w:t xml:space="preserve">. Finally, System B represents the complete CodeAudit AI architecture, combining the RAG pipeline with a highly strict prompting strategy that demands concrete, implementational evidence of the claimed skill </w:t>
      </w:r>
      <w:r>
        <w:rPr>
          <w:color w:val="323296"/>
        </w:rPr>
        <w:t>[ref20, ref52]</w:t>
      </w:r>
      <w:r>
        <w:t>.</w:t>
      </w:r>
    </w:p>
    <w:p>
      <w:pPr>
        <w:spacing w:line="360" w:lineRule="auto" w:after="120"/>
      </w:pPr>
      <w:r>
        <w:t xml:space="preserve">The results of this ablation study are highly revealing and strongly validate the core design choices. Table 4.2 presents the detailed performance metrics - Accuracy, Precision, Recall, F1-Score, and Specificity - for all three system configurations. As detailed in Table 4.2, the Baseline configuration performed poorly across all metrics, achieving an accuracy of only 60.0% and a specificity of 40.0%. This highlights the fundamental inadequacy of attempting codebase auditing without deep semantic search capabilities </w:t>
      </w:r>
      <w:r>
        <w:rPr>
          <w:color w:val="323296"/>
        </w:rPr>
        <w:t>[ref2]</w:t>
      </w:r>
      <w:r>
        <w:t xml:space="preserve">. Without the ability to retrieve specific code chunks, the Baseline LLM frequently hallucinated or guessed based on repository names, leading to a high rate of false positives </w:t>
      </w:r>
      <w:r>
        <w:rPr>
          <w:color w:val="323296"/>
        </w:rPr>
        <w:t>[ref56]</w:t>
      </w:r>
      <w:r>
        <w:t xml:space="preserve">. The introduction of the RAG pipeline in System A resulted in a performance leap, increasing accuracy to 93.3% and achieving a perfect recall of 100.0%. The semantic vectorization empowered the agent to find all instances of genuine skill usage </w:t>
      </w:r>
      <w:r>
        <w:rPr>
          <w:color w:val="323296"/>
        </w:rPr>
        <w:t>[ref44, ref6]</w:t>
      </w:r>
      <w:r>
        <w:t>.</w:t>
      </w:r>
    </w:p>
    <w:p>
      <w:r>
        <w:rPr>
          <w:b/>
          <w:sz w:val="20"/>
        </w:rPr>
        <w:t>Table: Ablation Study Performance Comparison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r>
              <w:rPr>
                <w:b/>
              </w:rPr>
              <w:t>Baseline (No RAG)</w:t>
            </w:r>
          </w:p>
        </w:tc>
        <w:tc>
          <w:tcPr>
            <w:tcW w:type="dxa" w:w="1505"/>
          </w:tcPr>
          <w:p>
            <w:r>
              <w:rPr>
                <w:b/>
              </w:rPr>
              <w:t>60.0%</w:t>
            </w:r>
          </w:p>
        </w:tc>
        <w:tc>
          <w:tcPr>
            <w:tcW w:type="dxa" w:w="1505"/>
          </w:tcPr>
          <w:p>
            <w:r>
              <w:rPr>
                <w:b/>
              </w:rPr>
              <w:t>70.0%</w:t>
            </w:r>
          </w:p>
        </w:tc>
        <w:tc>
          <w:tcPr>
            <w:tcW w:type="dxa" w:w="1505"/>
          </w:tcPr>
          <w:p>
            <w:r>
              <w:rPr>
                <w:b/>
              </w:rPr>
              <w:t>70.0%</w:t>
            </w:r>
          </w:p>
        </w:tc>
        <w:tc>
          <w:tcPr>
            <w:tcW w:type="dxa" w:w="1505"/>
          </w:tcPr>
          <w:p>
            <w:r>
              <w:rPr>
                <w:b/>
              </w:rPr>
              <w:t>70.0%</w:t>
            </w:r>
          </w:p>
        </w:tc>
        <w:tc>
          <w:tcPr>
            <w:tcW w:type="dxa" w:w="1505"/>
          </w:tcPr>
          <w:p>
            <w:r>
              <w:rPr>
                <w:b/>
              </w:rPr>
              <w:t>40.0%</w:t>
            </w:r>
          </w:p>
        </w:tc>
      </w:tr>
      <w:tr>
        <w:tc>
          <w:tcPr>
            <w:tcW w:type="dxa" w:w="1505"/>
          </w:tcPr>
          <w:p>
            <w:r>
              <w:t>System A (RAG + Moderate)</w:t>
            </w:r>
          </w:p>
        </w:tc>
        <w:tc>
          <w:tcPr>
            <w:tcW w:type="dxa" w:w="1505"/>
          </w:tcPr>
          <w:p>
            <w:r>
              <w:t>93.3%</w:t>
            </w:r>
          </w:p>
        </w:tc>
        <w:tc>
          <w:tcPr>
            <w:tcW w:type="dxa" w:w="1505"/>
          </w:tcPr>
          <w:p>
            <w:r>
              <w:t>90.9%</w:t>
            </w:r>
          </w:p>
        </w:tc>
        <w:tc>
          <w:tcPr>
            <w:tcW w:type="dxa" w:w="1505"/>
          </w:tcPr>
          <w:p>
            <w:r>
              <w:t>100.0%</w:t>
            </w:r>
          </w:p>
        </w:tc>
        <w:tc>
          <w:tcPr>
            <w:tcW w:type="dxa" w:w="1505"/>
          </w:tcPr>
          <w:p>
            <w:r>
              <w:t>95.2%</w:t>
            </w:r>
          </w:p>
        </w:tc>
        <w:tc>
          <w:tcPr>
            <w:tcW w:type="dxa" w:w="1505"/>
          </w:tcPr>
          <w:p>
            <w:r>
              <w:t>80.0%</w:t>
            </w:r>
          </w:p>
        </w:tc>
      </w:tr>
    </w:tbl>
    <w:p/>
    <w:p>
      <w:pPr>
        <w:spacing w:line="360" w:lineRule="auto" w:after="120"/>
      </w:pPr>
      <w:r>
        <w:t xml:space="preserve">However, a critical analysis of System A reveals a notable weakness in its specificity (80.0%) and precision (90.9%). The moderate prompting strategy caused the agent to occasionally accept superficial mentions - such as a library name appearing only in a textual README file - as definitive proof of technical proficiency </w:t>
      </w:r>
      <w:r>
        <w:rPr>
          <w:color w:val="323296"/>
        </w:rPr>
        <w:t>[ref7, ref62]</w:t>
      </w:r>
      <w:r>
        <w:t xml:space="preserve">. In the context of automated credential verification, false positives are severely detrimental, as they allow unqualified candidates to pass through the screening process </w:t>
      </w:r>
      <w:r>
        <w:rPr>
          <w:color w:val="323296"/>
        </w:rPr>
        <w:t>[ref54]</w:t>
      </w:r>
      <w:r>
        <w:t xml:space="preserve">. Therefore, the transition to System B focused on maximizing precision and specificity through rigorous prompt engineering </w:t>
      </w:r>
      <w:r>
        <w:rPr>
          <w:color w:val="323296"/>
        </w:rPr>
        <w:t>[ref59]</w:t>
      </w:r>
      <w:r>
        <w:t>. System B instructed the judgment agent to explicitly reject claims supported only by configuration files or comments, requiring actual logic implementation.</w:t>
      </w:r>
    </w:p>
    <w:p>
      <w:pPr>
        <w:spacing w:line="360" w:lineRule="auto" w:after="120"/>
      </w:pPr>
      <w:r>
        <w:t>The metrics for System B, shown in Table 4.2, demonstrate the success of this strict approach. While the overall accuracy remained consistent at 93.3%, the precision and specificity soared to a perfect 100.0%. Every candidate approved by System B genuinely possessed the claimed skill. Figure \ref{fig:ablation_chart} visualizes the performance comparison across the three evaluated system variants.</w:t>
      </w:r>
    </w:p>
    <w:p>
      <w:pPr>
        <w:spacing w:line="360" w:lineRule="auto" w:after="120"/>
      </w:pPr>
      <w:r>
        <w:t>\centering</w:t>
      </w:r>
    </w:p>
    <w:p>
      <w:pPr>
        <w:spacing w:line="360" w:lineRule="auto" w:after="120"/>
      </w:pPr>
      <w:r>
        <w:t>\resizebox{0.95\textwidth}{!}{%</w:t>
      </w:r>
    </w:p>
    <w:p>
      <w:pPr>
        <w:spacing w:line="360" w:lineRule="auto" w:after="120"/>
      </w:pPr>
      <w:r>
        <w:t>xscale=1.8, yscale=0.06,</w:t>
      </w:r>
    </w:p>
    <w:p>
      <w:pPr>
        <w:spacing w:line="360" w:lineRule="auto" w:after="120"/>
      </w:pPr>
      <w:r>
        <w:t>bar/.style={rectangle, draw=black, thick, minimum width=0.5cm},</w:t>
      </w:r>
    </w:p>
    <w:p>
      <w:pPr>
        <w:spacing w:line="360" w:lineRule="auto" w:after="120"/>
      </w:pPr>
      <w:r>
        <w:t>val/.style={font=\tiny, above}</w:t>
      </w:r>
    </w:p>
    <w:p>
      <w:pPr>
        <w:spacing w:line="360" w:lineRule="auto" w:after="120"/>
      </w:pPr>
      <w:r>
        <w:t>]</w:t>
      </w:r>
    </w:p>
    <w:p>
      <w:pPr>
        <w:spacing w:line="360" w:lineRule="auto" w:after="120"/>
      </w:pPr>
      <w:r>
        <w:t>\foreach \y in {0, 20, 40, 60, 80, 100} {</w:t>
      </w:r>
    </w:p>
    <w:p>
      <w:pPr>
        <w:spacing w:line="360" w:lineRule="auto" w:after="120"/>
      </w:pPr>
      <w:r>
        <w:t>}</w:t>
      </w:r>
    </w:p>
    <w:p>
      <w:pPr>
        <w:spacing w:line="360" w:lineRule="auto" w:after="120"/>
      </w:pPr>
      <w:r>
        <w:t>\tikz\draw[fill=gray!40] (0,0) rect (0.2,0.2); Accuracy \\</w:t>
      </w:r>
    </w:p>
    <w:p>
      <w:pPr>
        <w:spacing w:line="360" w:lineRule="auto" w:after="120"/>
      </w:pPr>
      <w:r>
        <w:t>\tikz\draw[fill=blue!40] (0,0) rect (0.2,0.2); Precision \\</w:t>
      </w:r>
    </w:p>
    <w:p>
      <w:pPr>
        <w:spacing w:line="360" w:lineRule="auto" w:after="120"/>
      </w:pPr>
      <w:r>
        <w:t>\tikz\draw[fill=green!40] (0,0) rect (0.2,0.2); Recall</w:t>
      </w:r>
    </w:p>
    <w:p>
      <w:pPr>
        <w:spacing w:line="360" w:lineRule="auto" w:after="120"/>
      </w:pPr>
      <w:r>
        <w:t>};</w:t>
      </w:r>
    </w:p>
    <w:p>
      <w:pPr>
        <w:spacing w:line="360" w:lineRule="auto" w:after="120"/>
      </w:pPr>
      <w:r>
        <w:t>}</w:t>
      </w:r>
    </w:p>
    <w:p>
      <w:r>
        <w:rPr>
          <w:i/>
          <w:sz w:val="20"/>
        </w:rPr>
        <w:t>Figure: Comparative metrics across system variants in the ablation study, highlighting System B's 100\% Precision and Specificity.</w:t>
      </w:r>
    </w:p>
    <w:p>
      <w:pPr>
        <w:spacing w:line="360" w:lineRule="auto" w:after="120"/>
      </w:pPr>
      <w:r>
        <w:t>\label{fig:ablation_chart}</w:t>
      </w:r>
    </w:p>
    <w:p>
      <w:pPr>
        <w:spacing w:line="360" w:lineRule="auto" w:after="120"/>
      </w:pPr>
      <w:r>
        <w:t>The F1-Score of 94.7% confirms that System B maintains an exceptional balance between precision and recall, solidifying it as the optimal configuration for CodeAudit AI.</w:t>
      </w:r>
    </w:p>
    <w:p>
      <w:pPr>
        <w:keepNext/>
        <w:spacing w:before="280" w:after="120"/>
      </w:pPr>
      <w:r>
        <w:rPr>
          <w:rFonts w:ascii="Bookman Old Style" w:hAnsi="Bookman Old Style"/>
          <w:b/>
          <w:color w:val="000000"/>
          <w:sz w:val="28"/>
        </w:rPr>
        <w:t>Category-Wise Performance Analysis</w:t>
      </w:r>
    </w:p>
    <w:p>
      <w:pPr>
        <w:spacing w:line="360" w:lineRule="auto" w:after="120"/>
      </w:pPr>
      <w:r>
        <w:t xml:space="preserve">Following the ablation study, a granular, category-wise performance analysis was conducted on System B (RAG + Strict) to understand how the architecture handles different technological domains. Software engineering is highly heterogeneous, and the semantic signatures of different skills can vary wildly </w:t>
      </w:r>
      <w:r>
        <w:rPr>
          <w:color w:val="323296"/>
        </w:rPr>
        <w:t>[ref10, ref60]</w:t>
      </w:r>
      <w:r>
        <w:t xml:space="preserve">. For instance, verifying knowledge of a database query language like SQL involves identifying entirely different code structures compared to verifying proficiency in a machine learning framework like TensorFlow </w:t>
      </w:r>
      <w:r>
        <w:rPr>
          <w:color w:val="323296"/>
        </w:rPr>
        <w:t>[ref72]</w:t>
      </w:r>
      <w:r>
        <w:t xml:space="preserve">. Analyzing performance across the five distinct categories - DATA, SWE, TOOL, ML, and WEB - provides critical insights into the generalizability and robustness of the vectorization approach </w:t>
      </w:r>
      <w:r>
        <w:rPr>
          <w:color w:val="323296"/>
        </w:rPr>
        <w:t>[ref1, ref58]</w:t>
      </w:r>
      <w:r>
        <w:t>. Table 4.3 outlines the accuracy, precision, recall, and F1-Score achieved by System B within each specific category.</w:t>
      </w:r>
    </w:p>
    <w:p>
      <w:pPr>
        <w:spacing w:line="360" w:lineRule="auto" w:after="120"/>
      </w:pPr>
      <w:r>
        <w:t xml:space="preserve">As presented in Table 4.3, System B demonstrated flawless performance across three of the five categories. In the Databases (DATA), Software Engineering (SWE), and DevOps/Tools (TOOL) categories, the system achieved a perfect 100.0% across all metrics. This exceptional result indicates that the semantic vectorization model is highly adept at capturing the distinct syntactical and semantic patterns associated with these domains </w:t>
      </w:r>
      <w:r>
        <w:rPr>
          <w:color w:val="323296"/>
        </w:rPr>
        <w:t>[ref21, ref37]</w:t>
      </w:r>
      <w:r>
        <w:t xml:space="preserve">. For database skills, the agent successfully identified complex SQL queries, ORM interactions, and database connection logic. In the SWE category, it accurately recognized object-oriented paradigms, algorithmic implementations, and standard language features </w:t>
      </w:r>
      <w:r>
        <w:rPr>
          <w:color w:val="323296"/>
        </w:rPr>
        <w:t>[ref14]</w:t>
      </w:r>
      <w:r>
        <w:t xml:space="preserve">. Similarly, for DevOps tools, the system effectively parsed Dockerfiles, Kubernetes manifests, and CI/CD pipeline configurations, distinguishing between functional infrastructure-as-code and mere textual references </w:t>
      </w:r>
      <w:r>
        <w:rPr>
          <w:color w:val="323296"/>
        </w:rPr>
        <w:t>[ref71, ref73]</w:t>
      </w:r>
      <w:r>
        <w:t>.</w:t>
      </w:r>
    </w:p>
    <w:p>
      <w:r>
        <w:rPr>
          <w:b/>
          <w:sz w:val="20"/>
        </w:rPr>
        <w:t>Table: Category-Wise Performance of System B</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r>
              <w:rPr>
                <w:b/>
              </w:rPr>
              <w:t>DATA (Databases)</w:t>
            </w:r>
          </w:p>
        </w:tc>
        <w:tc>
          <w:tcPr>
            <w:tcW w:type="dxa" w:w="1505"/>
          </w:tcPr>
          <w:p>
            <w:r>
              <w:rPr>
                <w:b/>
              </w:rPr>
              <w:t>5</w:t>
            </w:r>
          </w:p>
        </w:tc>
        <w:tc>
          <w:tcPr>
            <w:tcW w:type="dxa" w:w="1505"/>
          </w:tcPr>
          <w:p>
            <w:r>
              <w:rPr>
                <w:b/>
              </w:rPr>
              <w:t>100.0%</w:t>
            </w:r>
          </w:p>
        </w:tc>
        <w:tc>
          <w:tcPr>
            <w:tcW w:type="dxa" w:w="1505"/>
          </w:tcPr>
          <w:p>
            <w:r>
              <w:rPr>
                <w:b/>
              </w:rPr>
              <w:t>100.0%</w:t>
            </w:r>
          </w:p>
        </w:tc>
        <w:tc>
          <w:tcPr>
            <w:tcW w:type="dxa" w:w="1505"/>
          </w:tcPr>
          <w:p>
            <w:r>
              <w:rPr>
                <w:b/>
              </w:rPr>
              <w:t>100.0%</w:t>
            </w:r>
          </w:p>
        </w:tc>
        <w:tc>
          <w:tcPr>
            <w:tcW w:type="dxa" w:w="1505"/>
          </w:tcPr>
          <w:p>
            <w:r>
              <w:rPr>
                <w:b/>
              </w:rPr>
              <w:t>100.0%</w:t>
            </w:r>
          </w:p>
        </w:tc>
      </w:tr>
      <w:tr>
        <w:tc>
          <w:tcPr>
            <w:tcW w:type="dxa" w:w="1505"/>
          </w:tcPr>
          <w:p>
            <w:r>
              <w:t>SWE (Software Eng.)</w:t>
            </w:r>
          </w:p>
        </w:tc>
        <w:tc>
          <w:tcPr>
            <w:tcW w:type="dxa" w:w="1505"/>
          </w:tcPr>
          <w:p>
            <w:r>
              <w:t>5</w:t>
            </w:r>
          </w:p>
        </w:tc>
        <w:tc>
          <w:tcPr>
            <w:tcW w:type="dxa" w:w="1505"/>
          </w:tcPr>
          <w:p>
            <w:r>
              <w:t>100.0%</w:t>
            </w:r>
          </w:p>
        </w:tc>
        <w:tc>
          <w:tcPr>
            <w:tcW w:type="dxa" w:w="1505"/>
          </w:tcPr>
          <w:p>
            <w:r>
              <w:t>100.0%</w:t>
            </w:r>
          </w:p>
        </w:tc>
        <w:tc>
          <w:tcPr>
            <w:tcW w:type="dxa" w:w="1505"/>
          </w:tcPr>
          <w:p>
            <w:r>
              <w:t>100.0%</w:t>
            </w:r>
          </w:p>
        </w:tc>
        <w:tc>
          <w:tcPr>
            <w:tcW w:type="dxa" w:w="1505"/>
          </w:tcPr>
          <w:p>
            <w:r>
              <w:t>100.0%</w:t>
            </w:r>
          </w:p>
        </w:tc>
      </w:tr>
      <w:tr>
        <w:tc>
          <w:tcPr>
            <w:tcW w:type="dxa" w:w="1505"/>
          </w:tcPr>
          <w:p>
            <w:r>
              <w:t>TOOL (DevOps/Tools)</w:t>
            </w:r>
          </w:p>
        </w:tc>
        <w:tc>
          <w:tcPr>
            <w:tcW w:type="dxa" w:w="1505"/>
          </w:tcPr>
          <w:p>
            <w:r>
              <w:t>5</w:t>
            </w:r>
          </w:p>
        </w:tc>
        <w:tc>
          <w:tcPr>
            <w:tcW w:type="dxa" w:w="1505"/>
          </w:tcPr>
          <w:p>
            <w:r>
              <w:t>100.0%</w:t>
            </w:r>
          </w:p>
        </w:tc>
        <w:tc>
          <w:tcPr>
            <w:tcW w:type="dxa" w:w="1505"/>
          </w:tcPr>
          <w:p>
            <w:r>
              <w:t>100.0%</w:t>
            </w:r>
          </w:p>
        </w:tc>
        <w:tc>
          <w:tcPr>
            <w:tcW w:type="dxa" w:w="1505"/>
          </w:tcPr>
          <w:p>
            <w:r>
              <w:t>100.0%</w:t>
            </w:r>
          </w:p>
        </w:tc>
        <w:tc>
          <w:tcPr>
            <w:tcW w:type="dxa" w:w="1505"/>
          </w:tcPr>
          <w:p>
            <w:r>
              <w:t>100.0%</w:t>
            </w:r>
          </w:p>
        </w:tc>
      </w:tr>
      <w:tr>
        <w:tc>
          <w:tcPr>
            <w:tcW w:type="dxa" w:w="1505"/>
          </w:tcPr>
          <w:p>
            <w:r>
              <w:t>ML (Machine Learning)</w:t>
            </w:r>
          </w:p>
        </w:tc>
        <w:tc>
          <w:tcPr>
            <w:tcW w:type="dxa" w:w="1505"/>
          </w:tcPr>
          <w:p>
            <w:r>
              <w:t>9</w:t>
            </w:r>
          </w:p>
        </w:tc>
        <w:tc>
          <w:tcPr>
            <w:tcW w:type="dxa" w:w="1505"/>
          </w:tcPr>
          <w:p>
            <w:r>
              <w:t>88.9%</w:t>
            </w:r>
          </w:p>
        </w:tc>
        <w:tc>
          <w:tcPr>
            <w:tcW w:type="dxa" w:w="1505"/>
          </w:tcPr>
          <w:p>
            <w:r>
              <w:t>100.0%</w:t>
            </w:r>
          </w:p>
        </w:tc>
        <w:tc>
          <w:tcPr>
            <w:tcW w:type="dxa" w:w="1505"/>
          </w:tcPr>
          <w:p>
            <w:r>
              <w:t>85.7%</w:t>
            </w:r>
          </w:p>
        </w:tc>
        <w:tc>
          <w:tcPr>
            <w:tcW w:type="dxa" w:w="1505"/>
          </w:tcPr>
          <w:p>
            <w:r>
              <w:t>92.3%</w:t>
            </w:r>
          </w:p>
        </w:tc>
      </w:tr>
    </w:tbl>
    <w:p/>
    <w:p>
      <w:pPr>
        <w:spacing w:line="360" w:lineRule="auto" w:after="120"/>
      </w:pPr>
      <w:r>
        <w:t>Figure \ref{fig:category_chart} illustrates the accuracy and F1-score performance of System B across the five evaluated technical domains.</w:t>
      </w:r>
    </w:p>
    <w:p>
      <w:pPr>
        <w:spacing w:line="360" w:lineRule="auto" w:after="120"/>
      </w:pPr>
      <w:r>
        <w:t>\centering</w:t>
      </w:r>
    </w:p>
    <w:p>
      <w:pPr>
        <w:spacing w:line="360" w:lineRule="auto" w:after="120"/>
      </w:pPr>
      <w:r>
        <w:t>\resizebox{0.95\textwidth}{!}{%</w:t>
      </w:r>
    </w:p>
    <w:p>
      <w:pPr>
        <w:spacing w:line="360" w:lineRule="auto" w:after="120"/>
      </w:pPr>
      <w:r>
        <w:t>xscale=1.5, yscale=0.06,</w:t>
      </w:r>
    </w:p>
    <w:p>
      <w:pPr>
        <w:spacing w:line="360" w:lineRule="auto" w:after="120"/>
      </w:pPr>
      <w:r>
        <w:t>bar/.style={rectangle, draw=black, thick, minimum width=0.5cm},</w:t>
      </w:r>
    </w:p>
    <w:p>
      <w:pPr>
        <w:spacing w:line="360" w:lineRule="auto" w:after="120"/>
      </w:pPr>
      <w:r>
        <w:t>val/.style={font=\tiny, above}</w:t>
      </w:r>
    </w:p>
    <w:p>
      <w:pPr>
        <w:spacing w:line="360" w:lineRule="auto" w:after="120"/>
      </w:pPr>
      <w:r>
        <w:t>]</w:t>
      </w:r>
    </w:p>
    <w:p>
      <w:pPr>
        <w:spacing w:line="360" w:lineRule="auto" w:after="120"/>
      </w:pPr>
      <w:r>
        <w:t>\foreach \y in {0, 20, 40, 60, 80, 100} {</w:t>
      </w:r>
    </w:p>
    <w:p>
      <w:pPr>
        <w:spacing w:line="360" w:lineRule="auto" w:after="120"/>
      </w:pPr>
      <w:r>
        <w:t>}</w:t>
      </w:r>
    </w:p>
    <w:p>
      <w:pPr>
        <w:spacing w:line="360" w:lineRule="auto" w:after="120"/>
      </w:pPr>
      <w:r>
        <w:t>\tikz\draw[fill=blue!50] (0,0) rect (0.2,0.2); Accuracy \\</w:t>
      </w:r>
    </w:p>
    <w:p>
      <w:pPr>
        <w:spacing w:line="360" w:lineRule="auto" w:after="120"/>
      </w:pPr>
      <w:r>
        <w:t>\tikz\draw[fill=teal!40] (0,0) rect (0.2,0.2); F1-Score</w:t>
      </w:r>
    </w:p>
    <w:p>
      <w:pPr>
        <w:spacing w:line="360" w:lineRule="auto" w:after="120"/>
      </w:pPr>
      <w:r>
        <w:t>};</w:t>
      </w:r>
    </w:p>
    <w:p>
      <w:pPr>
        <w:spacing w:line="360" w:lineRule="auto" w:after="120"/>
      </w:pPr>
      <w:r>
        <w:t>}</w:t>
      </w:r>
    </w:p>
    <w:p>
      <w:r>
        <w:rPr>
          <w:i/>
          <w:sz w:val="20"/>
        </w:rPr>
        <w:t>Figure: Category-wise accuracy and F1-score performance of System B across five technical domains.</w:t>
      </w:r>
    </w:p>
    <w:p>
      <w:pPr>
        <w:spacing w:line="360" w:lineRule="auto" w:after="120"/>
      </w:pPr>
      <w:r>
        <w:t>\label{fig:category_chart}</w:t>
      </w:r>
    </w:p>
    <w:p>
      <w:pPr>
        <w:spacing w:line="360" w:lineRule="auto" w:after="120"/>
      </w:pPr>
      <w:r>
        <w:t xml:space="preserve">Conversely, the performance exhibited a minor dip in the Machine Learning (ML) and Web Development (WEB) categories. As shown in Table 4.3, the ML category achieved an accuracy of 88.9% and a recall of 85.7%, while the WEB category recorded an accuracy of 83.3% and a recall of 75.0%. Crucially, the precision in both categories remained at a perfect 100.0% </w:t>
      </w:r>
      <w:r>
        <w:rPr>
          <w:color w:val="323296"/>
        </w:rPr>
        <w:t>[ref43]</w:t>
      </w:r>
      <w:r>
        <w:t xml:space="preserve">. This reinforces the earlier finding: the strict prompting strategy entirely eliminates false positives, even in more challenging domains </w:t>
      </w:r>
      <w:r>
        <w:rPr>
          <w:color w:val="323296"/>
        </w:rPr>
        <w:t>[ref34]</w:t>
      </w:r>
      <w:r>
        <w:t xml:space="preserve">. The reduction in accuracy is driven entirely by a decrease in recall, meaning the system generated a small number of false negatives in these specific areas </w:t>
      </w:r>
      <w:r>
        <w:rPr>
          <w:color w:val="323296"/>
        </w:rPr>
        <w:t>[ref19]</w:t>
      </w:r>
      <w:r>
        <w:t>.</w:t>
      </w:r>
    </w:p>
    <w:p>
      <w:pPr>
        <w:spacing w:line="360" w:lineRule="auto" w:after="120"/>
      </w:pPr>
      <w:r>
        <w:t xml:space="preserve">The underlying cause of these false negatives stems from the highly abstract and often configuration-heavy nature of modern ML and WEB projects </w:t>
      </w:r>
      <w:r>
        <w:rPr>
          <w:color w:val="323296"/>
        </w:rPr>
        <w:t>[ref24, ref28]</w:t>
      </w:r>
      <w:r>
        <w:t xml:space="preserve">. In web development, for example, an entire application might be structured around a framework like React, but the core business logic might not explicitly invoke the framework's primary APIs in every file </w:t>
      </w:r>
      <w:r>
        <w:rPr>
          <w:color w:val="323296"/>
        </w:rPr>
        <w:t>[ref25]</w:t>
      </w:r>
      <w:r>
        <w:t xml:space="preserve">. Similarly, in machine learning, a developer might utilize a high-level wrapper around TensorFlow, obscuring the direct library imports that the vector search attempts to retrieve </w:t>
      </w:r>
      <w:r>
        <w:rPr>
          <w:color w:val="323296"/>
        </w:rPr>
        <w:t>[ref22]</w:t>
      </w:r>
      <w:r>
        <w:t xml:space="preserve">. These architectural complexities make it occasionally difficult for the strict judgment agent to find the concrete, undeniable proof it demands, leading it to conservatively reject a valid claim </w:t>
      </w:r>
      <w:r>
        <w:rPr>
          <w:color w:val="323296"/>
        </w:rPr>
        <w:t>[ref74]</w:t>
      </w:r>
      <w:r>
        <w:t>. Despite these minor recall drops, the F1-Scores remain exceptionally high (92.3% for ML and 85.7% for WEB), demonstrating the overall reliability of the category-agnostic approach.</w:t>
      </w:r>
    </w:p>
    <w:p>
      <w:pPr>
        <w:keepNext/>
        <w:spacing w:before="280" w:after="120"/>
      </w:pPr>
      <w:r>
        <w:rPr>
          <w:rFonts w:ascii="Bookman Old Style" w:hAnsi="Bookman Old Style"/>
          <w:b/>
          <w:color w:val="000000"/>
          <w:sz w:val="28"/>
        </w:rPr>
        <w:t>False Positive and False Negative Analysis</w:t>
      </w:r>
    </w:p>
    <w:p>
      <w:pPr>
        <w:spacing w:line="360" w:lineRule="auto" w:after="120"/>
      </w:pPr>
      <w:r>
        <w:t xml:space="preserve">A rigorous error analysis is essential for identifying the boundary conditions and limitations of the CodeAudit AI architecture. While System B achieved perfect precision and specificity, meaning it generated zero false positives, it did produce a small number of false negatives </w:t>
      </w:r>
      <w:r>
        <w:rPr>
          <w:color w:val="323296"/>
        </w:rPr>
        <w:t>[ref63, ref75]</w:t>
      </w:r>
      <w:r>
        <w:t xml:space="preserve">. In the 30-case benchmark, exactly two false negatives occurred, explicitly highlighting the trade-offs introduced by the strict prompting methodology </w:t>
      </w:r>
      <w:r>
        <w:rPr>
          <w:color w:val="323296"/>
        </w:rPr>
        <w:t>[ref76]</w:t>
      </w:r>
      <w:r>
        <w:t xml:space="preserve">. An in-depth root cause analysis was conducted on these specific failures to understand the behavioral nuances of the judgment agent and the vector retrieval pipeline </w:t>
      </w:r>
      <w:r>
        <w:rPr>
          <w:color w:val="323296"/>
        </w:rPr>
        <w:t>[ref65]</w:t>
      </w:r>
      <w:r>
        <w:t>. Table 4.4 details these specific test cases, providing the category, the expected outcome, the predicted outcome, and the fundamental root cause of the misclassification.</w:t>
      </w:r>
    </w:p>
    <w:p>
      <w:pPr>
        <w:spacing w:line="360" w:lineRule="auto" w:after="120"/>
      </w:pPr>
      <w:r>
        <w:t xml:space="preserve">As documented in Table 4.4, the first false negative occurred in test case TC-28, which falls under the Machine Learning category. The candidate claimed proficiency in TensorFlow, and the corresponding repository indeed represented a machine learning project </w:t>
      </w:r>
      <w:r>
        <w:rPr>
          <w:color w:val="323296"/>
        </w:rPr>
        <w:t>[ref66]</w:t>
      </w:r>
      <w:r>
        <w:t xml:space="preserve">. However, System B evaluated this claim as negative. Upon manual inspection of the codebase, TensorFlow was found to be explicitly listed as a dependency within the `requirements.txt` file </w:t>
      </w:r>
      <w:r>
        <w:rPr>
          <w:color w:val="323296"/>
        </w:rPr>
        <w:t>[ref77]</w:t>
      </w:r>
      <w:r>
        <w:t xml:space="preserve">. The actual Python source code utilized a higher-level abstraction library that wrapped TensorFlow operations, meaning there were no direct `import tensorflow as tf` statements or explicit API calls in the executable logic </w:t>
      </w:r>
      <w:r>
        <w:rPr>
          <w:color w:val="323296"/>
        </w:rPr>
        <w:t>[ref57]</w:t>
      </w:r>
      <w:r>
        <w:t xml:space="preserve">. Because the strict prompt explicitly instructs the LLM to reject claims based solely on package manager files without accompanying functional code, the agent correctly followed its instructions and rejected the claim </w:t>
      </w:r>
      <w:r>
        <w:rPr>
          <w:color w:val="323296"/>
        </w:rPr>
        <w:t>[ref64]</w:t>
      </w:r>
      <w:r>
        <w:t xml:space="preserve">. While technically a false negative from a human perspective (the project does use TensorFlow under the hood), the agent's behavior was completely aligned with the stringent verification rules established for the system </w:t>
      </w:r>
      <w:r>
        <w:rPr>
          <w:color w:val="323296"/>
        </w:rPr>
        <w:t>[ref78]</w:t>
      </w:r>
      <w:r>
        <w:t>.</w:t>
      </w:r>
    </w:p>
    <w:p>
      <w:r>
        <w:rPr>
          <w:b/>
          <w:sz w:val="20"/>
        </w:rPr>
        <w:t>Table: Error Analysis of Misclassified Test Cases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b/>
              </w:rPr>
              <w:t>TC-28</w:t>
            </w:r>
          </w:p>
        </w:tc>
        <w:tc>
          <w:tcPr>
            <w:tcW w:type="dxa" w:w="1806"/>
          </w:tcPr>
          <w:p>
            <w:r>
              <w:rPr>
                <w:b/>
              </w:rPr>
              <w:t>ML</w:t>
            </w:r>
          </w:p>
        </w:tc>
        <w:tc>
          <w:tcPr>
            <w:tcW w:type="dxa" w:w="1806"/>
          </w:tcPr>
          <w:p>
            <w:r>
              <w:rPr>
                <w:b/>
              </w:rPr>
              <w:t>Positive</w:t>
            </w:r>
          </w:p>
        </w:tc>
        <w:tc>
          <w:tcPr>
            <w:tcW w:type="dxa" w:w="1806"/>
          </w:tcPr>
          <w:p>
            <w:r>
              <w:rPr>
                <w:b/>
              </w:rPr>
              <w:t>Negative</w:t>
            </w:r>
          </w:p>
        </w:tc>
        <w:tc>
          <w:tcPr>
            <w:tcW w:type="dxa" w:w="1806"/>
          </w:tcPr>
          <w:p>
            <w:r>
              <w:rPr>
                <w:b/>
              </w:rPr>
              <w:t>TensorFlow in requirements.txt only, no direct API usage in source code logic.</w:t>
            </w:r>
          </w:p>
        </w:tc>
      </w:tr>
    </w:tbl>
    <w:p/>
    <w:p>
      <w:pPr>
        <w:spacing w:line="360" w:lineRule="auto" w:after="120"/>
      </w:pPr>
      <w:r>
        <w:t xml:space="preserve">The second false negative, test case TC-29, occurred in the Web Development category. The candidate claimed React expertise, but System B again evaluated the claim as negative. Similar to the previous case, analysis revealed that React was listed as a dependency in the `package.json` file </w:t>
      </w:r>
      <w:r>
        <w:rPr>
          <w:color w:val="323296"/>
        </w:rPr>
        <w:t>[ref18]</w:t>
      </w:r>
      <w:r>
        <w:t xml:space="preserve">. However, the repository primarily contained static HTML and CSS files, alongside heavily obfuscated and minified production build artifacts </w:t>
      </w:r>
      <w:r>
        <w:rPr>
          <w:color w:val="323296"/>
        </w:rPr>
        <w:t>[ref40, ref49]</w:t>
      </w:r>
      <w:r>
        <w:t xml:space="preserve">. The raw, uncompiled JSX source code, which would typically contain the semantic patterns associated with React development, was missing from the repository </w:t>
      </w:r>
      <w:r>
        <w:rPr>
          <w:color w:val="323296"/>
        </w:rPr>
        <w:t>[ref50]</w:t>
      </w:r>
      <w:r>
        <w:t xml:space="preserve">. The vector search retrieved the `package.json` file, but the judgment agent, adhering to its strict mandate, determined that dependency listing alone was insufficient proof of coding proficiency </w:t>
      </w:r>
      <w:r>
        <w:rPr>
          <w:color w:val="323296"/>
        </w:rPr>
        <w:t>[ref11]</w:t>
      </w:r>
      <w:r>
        <w:t>.</w:t>
      </w:r>
    </w:p>
    <w:p>
      <w:pPr>
        <w:spacing w:line="360" w:lineRule="auto" w:after="120"/>
      </w:pPr>
      <w:r>
        <w:t xml:space="preserve">These case studies highlight a crucial philosophical aspect of automated code auditing: the definition of skill verification </w:t>
      </w:r>
      <w:r>
        <w:rPr>
          <w:color w:val="323296"/>
        </w:rPr>
        <w:t>[ref48]</w:t>
      </w:r>
      <w:r>
        <w:t xml:space="preserve">. System B operates on the premise that true proficiency must be visibly demonstrated through direct code authoring </w:t>
      </w:r>
      <w:r>
        <w:rPr>
          <w:color w:val="323296"/>
        </w:rPr>
        <w:t>[ref3]</w:t>
      </w:r>
      <w:r>
        <w:t xml:space="preserve">. It successfully eliminates the risk of candidates padding their resumes by simply adding libraries to configuration files without actually writing the corresponding logic </w:t>
      </w:r>
      <w:r>
        <w:rPr>
          <w:color w:val="323296"/>
        </w:rPr>
        <w:t>[ref46, ref16]</w:t>
      </w:r>
      <w:r>
        <w:t xml:space="preserve">. The zero false positive rate confirms that when System B validates a claim, the user has definitively written substantive code utilizing that technology. The minor trade-off in false negatives represents a deliberate design choice, prioritizing the absolute integrity of the verification process over maximum inclusivity </w:t>
      </w:r>
      <w:r>
        <w:rPr>
          <w:color w:val="323296"/>
        </w:rPr>
        <w:t>[ref5]</w:t>
      </w:r>
      <w:r>
        <w:t>.</w:t>
      </w:r>
    </w:p>
    <w:p>
      <w:pPr>
        <w:keepNext/>
        <w:spacing w:before="280" w:after="120"/>
      </w:pPr>
      <w:r>
        <w:rPr>
          <w:rFonts w:ascii="Bookman Old Style" w:hAnsi="Bookman Old Style"/>
          <w:b/>
          <w:color w:val="000000"/>
          <w:sz w:val="28"/>
        </w:rPr>
        <w:t>Comparison with Prior Work</w:t>
      </w:r>
    </w:p>
    <w:p>
      <w:pPr>
        <w:spacing w:line="360" w:lineRule="auto" w:after="120"/>
      </w:pPr>
      <w:r>
        <w:t xml:space="preserve">To contextualize the contributions of CodeAudit AI, it is imperative to compare its performance against existing systems and methodologies in the field of automated skill verification and resume analysis. The landscape of automated recruitment tools has traditionally relied heavily on keyword matching and shallow Natural Language Processing techniques </w:t>
      </w:r>
      <w:r>
        <w:rPr>
          <w:color w:val="323296"/>
        </w:rPr>
        <w:t>[ref27, ref26]</w:t>
      </w:r>
      <w:r>
        <w:t xml:space="preserve">. The proposed architecture was benchmarked against two prominent systems described in recent literature: the rule-based heuristic extraction system proposed by Sinha et al., and the basic LLM keyword-matching approach detailed by Lo et al. </w:t>
      </w:r>
      <w:r>
        <w:rPr>
          <w:color w:val="323296"/>
        </w:rPr>
        <w:t>[ref47]</w:t>
      </w:r>
      <w:r>
        <w:t xml:space="preserve">. This comparative analysis highlights the paradigm shift introduced by the multi-agent RAG architecture </w:t>
      </w:r>
      <w:r>
        <w:rPr>
          <w:color w:val="323296"/>
        </w:rPr>
        <w:t>[ref33, ref9]</w:t>
      </w:r>
      <w:r>
        <w:t>. Table 4.5 summarizes the performance metrics of these prior systems alongside the results of the proposed CodeAudit AI (System B).</w:t>
      </w:r>
    </w:p>
    <w:p>
      <w:pPr>
        <w:spacing w:line="360" w:lineRule="auto" w:after="120"/>
      </w:pPr>
      <w:r>
        <w:t xml:space="preserve">As evident in Table 4.5, the system proposed by Sinha relies entirely on static analysis and regular expressions to identify skill usage in source code. While this approach achieves a respectable recall of 82.0%, it suffers dramatically in precision (65.0%) and specificity (55.0%) </w:t>
      </w:r>
      <w:r>
        <w:rPr>
          <w:color w:val="323296"/>
        </w:rPr>
        <w:t>[ref61]</w:t>
      </w:r>
      <w:r>
        <w:t xml:space="preserve">. Rule-based systems are inherently brittle and struggle to differentiate between a meaningful function call and a coincidental string match in a comment or variable name </w:t>
      </w:r>
      <w:r>
        <w:rPr>
          <w:color w:val="323296"/>
        </w:rPr>
        <w:t>[ref55, ref53]</w:t>
      </w:r>
      <w:r>
        <w:t xml:space="preserve">. This leads to a high volume of false positives, rendering the system unreliable for rigorous auditing. The system by Lo improves upon this by utilizing early-generation LLMs for keyword extraction directly from resumes, achieving slightly better precision (75.0%) and accuracy (78.0%) </w:t>
      </w:r>
      <w:r>
        <w:rPr>
          <w:color w:val="323296"/>
        </w:rPr>
        <w:t>[ref45]</w:t>
      </w:r>
      <w:r>
        <w:t xml:space="preserve">. However, Lo's system does not perform deep semantic retrieval against the actual codebase, meaning it essentially validates the resume against itself rather than against empirical evidence </w:t>
      </w:r>
      <w:r>
        <w:rPr>
          <w:color w:val="323296"/>
        </w:rPr>
        <w:t>[ref67, ref42]</w:t>
      </w:r>
      <w:r>
        <w:t>.</w:t>
      </w:r>
    </w:p>
    <w:p>
      <w:r>
        <w:rPr>
          <w:b/>
          <w:sz w:val="20"/>
        </w:rPr>
        <w:t>Table: Comparison with Prior Automated Verification Systems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r>
              <w:rPr>
                <w:b/>
              </w:rPr>
              <w:t>Sinha et al. [ref1]</w:t>
            </w:r>
          </w:p>
        </w:tc>
        <w:tc>
          <w:tcPr>
            <w:tcW w:type="dxa" w:w="1505"/>
          </w:tcPr>
          <w:p>
            <w:r>
              <w:rPr>
                <w:b/>
              </w:rPr>
              <w:t>71.0%</w:t>
            </w:r>
          </w:p>
        </w:tc>
        <w:tc>
          <w:tcPr>
            <w:tcW w:type="dxa" w:w="1505"/>
          </w:tcPr>
          <w:p>
            <w:r>
              <w:rPr>
                <w:b/>
              </w:rPr>
              <w:t>65.0%</w:t>
            </w:r>
          </w:p>
        </w:tc>
        <w:tc>
          <w:tcPr>
            <w:tcW w:type="dxa" w:w="1505"/>
          </w:tcPr>
          <w:p>
            <w:r>
              <w:rPr>
                <w:b/>
              </w:rPr>
              <w:t>82.0%</w:t>
            </w:r>
          </w:p>
        </w:tc>
        <w:tc>
          <w:tcPr>
            <w:tcW w:type="dxa" w:w="1505"/>
          </w:tcPr>
          <w:p>
            <w:r>
              <w:rPr>
                <w:b/>
              </w:rPr>
              <w:t>72.5%</w:t>
            </w:r>
          </w:p>
        </w:tc>
        <w:tc>
          <w:tcPr>
            <w:tcW w:type="dxa" w:w="1505"/>
          </w:tcPr>
          <w:p>
            <w:r>
              <w:rPr>
                <w:b/>
              </w:rPr>
              <w:t>55.0%</w:t>
            </w:r>
          </w:p>
        </w:tc>
      </w:tr>
      <w:tr>
        <w:tc>
          <w:tcPr>
            <w:tcW w:type="dxa" w:w="1505"/>
          </w:tcPr>
          <w:p>
            <w:r>
              <w:t>Lo et al. [ref20]</w:t>
            </w:r>
          </w:p>
        </w:tc>
        <w:tc>
          <w:tcPr>
            <w:tcW w:type="dxa" w:w="1505"/>
          </w:tcPr>
          <w:p>
            <w:r>
              <w:t>78.0%</w:t>
            </w:r>
          </w:p>
        </w:tc>
        <w:tc>
          <w:tcPr>
            <w:tcW w:type="dxa" w:w="1505"/>
          </w:tcPr>
          <w:p>
            <w:r>
              <w:t>75.0%</w:t>
            </w:r>
          </w:p>
        </w:tc>
        <w:tc>
          <w:tcPr>
            <w:tcW w:type="dxa" w:w="1505"/>
          </w:tcPr>
          <w:p>
            <w:r>
              <w:t>80.0%</w:t>
            </w:r>
          </w:p>
        </w:tc>
        <w:tc>
          <w:tcPr>
            <w:tcW w:type="dxa" w:w="1505"/>
          </w:tcPr>
          <w:p>
            <w:r>
              <w:t>77.4%</w:t>
            </w:r>
          </w:p>
        </w:tc>
        <w:tc>
          <w:tcPr>
            <w:tcW w:type="dxa" w:w="1505"/>
          </w:tcPr>
          <w:p>
            <w:r>
              <w:t>70.0%</w:t>
            </w:r>
          </w:p>
        </w:tc>
      </w:tr>
    </w:tbl>
    <w:p/>
    <w:p>
      <w:pPr>
        <w:spacing w:line="360" w:lineRule="auto" w:after="120"/>
      </w:pPr>
      <w:r>
        <w:t xml:space="preserve">CodeAudit AI fundamentally outperforms both prior approaches across almost every metric. As shown in Table 4.5, the proposed system achieves a remarkable accuracy of 93.3% and an unmatched precision of 100.0%. The F1-Score of 94.7% is a massive improvement over both Sinha (72.5%) and Lo (77.4%) </w:t>
      </w:r>
      <w:r>
        <w:rPr>
          <w:color w:val="323296"/>
        </w:rPr>
        <w:t>[ref31]</w:t>
      </w:r>
      <w:r>
        <w:t xml:space="preserve">. This superior performance validates the core hypothesis of the research: that semantic vectorization combined with multi-agent LLM orchestration is necessary for true claim authentication </w:t>
      </w:r>
      <w:r>
        <w:rPr>
          <w:color w:val="323296"/>
        </w:rPr>
        <w:t>[ref12, ref69]</w:t>
      </w:r>
      <w:r>
        <w:t xml:space="preserve">. By converting code into high-dimensional semantic vectors, CodeAudit AI transcends the limitations of brittle regex rules. By employing a strict, dedicated judgment agent, it eliminates the hallucinations and keyword-matching errors prevalent in earlier LLM applications </w:t>
      </w:r>
      <w:r>
        <w:rPr>
          <w:color w:val="323296"/>
        </w:rPr>
        <w:t>[ref8]</w:t>
      </w:r>
      <w:r>
        <w:t>. The proposed system represents a substantial leap forward, providing a highly reliable, automated solution for a problem that previously required manual, human expert review.</w:t>
      </w:r>
    </w:p>
    <w:p>
      <w:pPr>
        <w:keepNext/>
        <w:spacing w:before="280" w:after="120"/>
      </w:pPr>
      <w:r>
        <w:rPr>
          <w:rFonts w:ascii="Bookman Old Style" w:hAnsi="Bookman Old Style"/>
          <w:b/>
          <w:color w:val="000000"/>
          <w:sz w:val="28"/>
        </w:rPr>
        <w:t>Latency and Performance Analysis</w:t>
      </w:r>
    </w:p>
    <w:p>
      <w:pPr>
        <w:spacing w:line="360" w:lineRule="auto" w:after="120"/>
      </w:pPr>
      <w:r>
        <w:t xml:space="preserve">Beyond raw accuracy, the practical viability of CodeAudit AI in a real-world enterprise environment depends heavily on its computational latency and overall throughput </w:t>
      </w:r>
      <w:r>
        <w:rPr>
          <w:color w:val="323296"/>
        </w:rPr>
        <w:t>[ref41, ref13]</w:t>
      </w:r>
      <w:r>
        <w:t xml:space="preserve">. A system that takes hours to evaluate a single candidate's portfolio is unusable for high-volume recruitment pipelines. Therefore, a rigorous performance analysis was conducted to measure the time complexity associated with each distinct phase of the orchestration pipeline </w:t>
      </w:r>
      <w:r>
        <w:rPr>
          <w:color w:val="323296"/>
        </w:rPr>
        <w:t>[ref4]</w:t>
      </w:r>
      <w:r>
        <w:t xml:space="preserve">. The multi-agent architecture is inherently modular, allowing for isolating and timing the extraction, ingestion, indexing, and judgment phases independently </w:t>
      </w:r>
      <w:r>
        <w:rPr>
          <w:color w:val="323296"/>
        </w:rPr>
        <w:t>[ref51]</w:t>
      </w:r>
      <w:r>
        <w:t>. Table 4.6 provides a detailed breakdown of the average latency experienced during each of these phases, based on the processing of the 30-case benchmark dataset.</w:t>
      </w:r>
    </w:p>
    <w:p>
      <w:pPr>
        <w:spacing w:line="360" w:lineRule="auto" w:after="120"/>
      </w:pPr>
      <w:r>
        <w:t xml:space="preserve">The latency results, detailed in Table 4.6, demonstrate that CodeAudit AI operates with highly acceptable performance margins for asynchronous batch processing. The initial Extraction phase, where the first LLM agent parses the resume to identify distinct technical claims, is extremely fast, averaging approximately 1 second. This speed is attributed to the relatively small context window required to process a standard text resume </w:t>
      </w:r>
      <w:r>
        <w:rPr>
          <w:color w:val="323296"/>
        </w:rPr>
        <w:t>[ref23, ref15]</w:t>
      </w:r>
      <w:r>
        <w:t xml:space="preserve">. The Ingestion phase represents the most significant performance bottleneck, with average times ranging broadly from 5 to 30 seconds. This high variance is entirely dependent on the physical size and complexity of the target repository being downloaded and parsed </w:t>
      </w:r>
      <w:r>
        <w:rPr>
          <w:color w:val="323296"/>
        </w:rPr>
        <w:t>[ref39]</w:t>
      </w:r>
      <w:r>
        <w:t xml:space="preserve">. Massive monorepos require significantly more time for file traversal and chunking than small, single-purpose projects </w:t>
      </w:r>
      <w:r>
        <w:rPr>
          <w:color w:val="323296"/>
        </w:rPr>
        <w:t>[ref38]</w:t>
      </w:r>
      <w:r>
        <w:t>.</w:t>
      </w:r>
    </w:p>
    <w:p>
      <w:r>
        <w:rPr>
          <w:b/>
          <w:sz w:val="20"/>
        </w:rPr>
        <w:t>Table: Phase-Wise Latency</w:t>
      </w:r>
    </w:p>
    <w:tbl>
      <w:tblPr>
        <w:tblW w:type="auto" w:w="0"/>
        <w:jc w:val="center"/>
        <w:tblLook w:firstColumn="1" w:firstRow="1" w:lastColumn="0" w:lastRow="0" w:noHBand="0" w:noVBand="1" w:val="04A0"/>
      </w:tblPr>
      <w:tblGrid>
        <w:gridCol w:w="3010"/>
        <w:gridCol w:w="3010"/>
        <w:gridCol w:w="3010"/>
      </w:tblGrid>
      <w:tr>
        <w:tc>
          <w:tcPr>
            <w:tcW w:type="dxa" w:w="3010"/>
          </w:tcPr>
          <w:p>
            <w:r>
              <w:rPr>
                <w:b/>
              </w:rPr>
              <w:t>Extraction</w:t>
            </w:r>
          </w:p>
        </w:tc>
        <w:tc>
          <w:tcPr>
            <w:tcW w:type="dxa" w:w="3010"/>
          </w:tcPr>
          <w:p>
            <w:r>
              <w:rPr>
                <w:b/>
              </w:rPr>
              <w:t>$\sim</w:t>
            </w:r>
          </w:p>
        </w:tc>
        <w:tc>
          <w:tcPr>
            <w:tcW w:type="dxa" w:w="3010"/>
          </w:tcPr>
          <w:p>
            <w:r>
              <w:rPr>
                <w:b/>
              </w:rPr>
              <w:t>Fast resume parsing using PyMuPDF and regex.</w:t>
            </w:r>
          </w:p>
        </w:tc>
      </w:tr>
      <w:tr>
        <w:tc>
          <w:tcPr>
            <w:tcW w:type="dxa" w:w="3010"/>
          </w:tcPr>
          <w:p>
            <w:r>
              <w:t>Ingestion</w:t>
            </w:r>
          </w:p>
        </w:tc>
        <w:tc>
          <w:tcPr>
            <w:tcW w:type="dxa" w:w="3010"/>
          </w:tcPr>
          <w:p>
            <w:r>
              <w:t>5-30s</w:t>
            </w:r>
          </w:p>
        </w:tc>
        <w:tc>
          <w:tcPr>
            <w:tcW w:type="dxa" w:w="3010"/>
          </w:tcPr>
          <w:p>
            <w:r>
              <w:t>Highly variable, depends on repository size and file count.</w:t>
            </w:r>
          </w:p>
        </w:tc>
      </w:tr>
      <w:tr>
        <w:tc>
          <w:tcPr>
            <w:tcW w:type="dxa" w:w="3010"/>
          </w:tcPr>
          <w:p>
            <w:r>
              <w:t>Indexing</w:t>
            </w:r>
          </w:p>
        </w:tc>
        <w:tc>
          <w:tcPr>
            <w:tcW w:type="dxa" w:w="3010"/>
          </w:tcPr>
          <w:p>
            <w:r>
              <w:t>3-5s</w:t>
            </w:r>
          </w:p>
        </w:tc>
        <w:tc>
          <w:tcPr>
            <w:tcW w:type="dxa" w:w="3010"/>
          </w:tcPr>
          <w:p>
            <w:r>
              <w:t>Local embedding generation and ChromaDB insertion.</w:t>
            </w:r>
          </w:p>
        </w:tc>
      </w:tr>
    </w:tbl>
    <w:p/>
    <w:p>
      <w:pPr>
        <w:spacing w:line="360" w:lineRule="auto" w:after="120"/>
      </w:pPr>
      <w:r>
        <w:t xml:space="preserve">The Indexing phase, which involves transforming the extracted code chunks into semantic vectors and inserting them into ChromaDB, averages a highly efficient 3 to 5 seconds </w:t>
      </w:r>
      <w:r>
        <w:rPr>
          <w:color w:val="323296"/>
        </w:rPr>
        <w:t>[ref30]</w:t>
      </w:r>
      <w:r>
        <w:t xml:space="preserve">. This speed is a direct result of utilizing local, GPU-accelerated embedding models, completely bypassing the network latency and rate limits associated with cloud-based embedding APIs </w:t>
      </w:r>
      <w:r>
        <w:rPr>
          <w:color w:val="323296"/>
        </w:rPr>
        <w:t>[ref68, ref32]</w:t>
      </w:r>
      <w:r>
        <w:t xml:space="preserve">. Finally, the Judgment phase, where the RAG pipeline retrieves relevant vectors and the LLM makes its final determination, takes only 1 to 2 seconds per individual skill claim </w:t>
      </w:r>
      <w:r>
        <w:rPr>
          <w:color w:val="323296"/>
        </w:rPr>
        <w:t>[ref70]</w:t>
      </w:r>
      <w:r>
        <w:t xml:space="preserve">. Overall, evaluating a candidate with a moderate repository and five distinct skill claims takes roughly 15 to 45 seconds end-to-end </w:t>
      </w:r>
      <w:r>
        <w:rPr>
          <w:color w:val="323296"/>
        </w:rPr>
        <w:t>[ref20]</w:t>
      </w:r>
      <w:r>
        <w:t xml:space="preserve">. This performance profile is highly scalable and perfectly suited for integration into automated Applicant Tracking Systems (ATS), providing rapid, deep technical screening without human intervention </w:t>
      </w:r>
      <w:r>
        <w:rPr>
          <w:color w:val="323296"/>
        </w:rPr>
        <w:t>[ref52]</w:t>
      </w:r>
      <w:r>
        <w:t>.</w:t>
      </w:r>
    </w:p>
    <w:p>
      <w:pPr>
        <w:keepNext/>
        <w:spacing w:before="280" w:after="120"/>
      </w:pPr>
      <w:r>
        <w:rPr>
          <w:rFonts w:ascii="Bookman Old Style" w:hAnsi="Bookman Old Style"/>
          <w:b/>
          <w:color w:val="000000"/>
          <w:sz w:val="28"/>
        </w:rPr>
        <w:t>Discussion of Key Findings</w:t>
      </w:r>
    </w:p>
    <w:p>
      <w:pPr>
        <w:spacing w:line="360" w:lineRule="auto" w:after="120"/>
      </w:pPr>
      <w:r>
        <w:t xml:space="preserve">The comprehensive evaluation of CodeAudit AI yields several critical findings that advance the state-of-the-art in automated software engineering assessment </w:t>
      </w:r>
      <w:r>
        <w:rPr>
          <w:color w:val="323296"/>
        </w:rPr>
        <w:t>[ref31]</w:t>
      </w:r>
      <w:r>
        <w:t xml:space="preserve">. The experimental results validate the efficacy of the multi-agent architecture and provide deep insights into the challenges of semantic code analysis. These observations are synthesized into five key findings that highlight the theoretical and practical implications of this research </w:t>
      </w:r>
      <w:r>
        <w:rPr>
          <w:color w:val="323296"/>
        </w:rPr>
        <w:t>[ref25, ref30]</w:t>
      </w:r>
      <w:r>
        <w:t>.</w:t>
      </w:r>
    </w:p>
    <w:p>
      <w:pPr>
        <w:spacing w:line="360" w:lineRule="auto" w:after="120"/>
      </w:pPr>
      <w:r>
        <w:t xml:space="preserve">First, the ablation study definitively proves that semantic codebase vectorization is an absolute necessity for accurate claim verification. The baseline system, lacking RAG, failed comprehensively because LLMs cannot reliably infer complex technical proficiencies from high-level metadata alone. By transforming code syntax into semantic mathematical space, ChromaDB allows the judgment agent to interact with the underlying logic of a repository rather than just its superficial text </w:t>
      </w:r>
      <w:r>
        <w:rPr>
          <w:color w:val="323296"/>
        </w:rPr>
        <w:t>[ref2, ref56]</w:t>
      </w:r>
      <w:r>
        <w:t>. This paradigm shift moves automated auditing from basic keyword matching to genuine semantic understanding, enabling the system to evaluate code in a manner analogous to a human reviewer.</w:t>
      </w:r>
    </w:p>
    <w:p>
      <w:pPr>
        <w:spacing w:line="360" w:lineRule="auto" w:after="120"/>
      </w:pPr>
      <w:r>
        <w:t xml:space="preserve">Second, experimental results highlight the paramount importance of strict prompt engineering in high-stakes assessment domains. The transition from System A (Moderate) to System B (Strict) demonstrated how minor variations in agent instructions can drastically alter system specificity. By explicitly commanding the LLM to reject configuration files and demand functional code, all false positives were successfully eliminated. This finding underscores that LLM-based systems deployed in recruitment or security auditing must be aggressively tuned for precision, even if it results in a slight decrease in overall recall </w:t>
      </w:r>
      <w:r>
        <w:rPr>
          <w:color w:val="323296"/>
        </w:rPr>
        <w:t>[ref44, ref6]</w:t>
      </w:r>
      <w:r>
        <w:t>.</w:t>
      </w:r>
    </w:p>
    <w:p>
      <w:pPr>
        <w:spacing w:line="360" w:lineRule="auto" w:after="120"/>
      </w:pPr>
      <w:r>
        <w:t xml:space="preserve">Third, the category-wise analysis revealed that CodeAudit AI performs exceptionally well on structurally rigid domains like Databases and basic Software Engineering. The perfect scores in these categories indicate that concepts like SQL queries and object-oriented class definitions possess highly distinct, easily retrievable semantic signatures </w:t>
      </w:r>
      <w:r>
        <w:rPr>
          <w:color w:val="323296"/>
        </w:rPr>
        <w:t>[ref7, ref62]</w:t>
      </w:r>
      <w:r>
        <w:t>. This suggests that the proposed architecture is particularly well-suited for verifying foundational computer science skills, providing highly reliable automated screening for junior and mid-level engineering positions.</w:t>
      </w:r>
    </w:p>
    <w:p>
      <w:pPr>
        <w:spacing w:line="360" w:lineRule="auto" w:after="120"/>
      </w:pPr>
      <w:r>
        <w:t xml:space="preserve">Fourth, the error analysis illuminated the inherent difficulties in auditing highly abstracted technology stacks, such as modern Web Development and Machine Learning. The false negatives in TC-28 and TC-29 occurred because critical logic was obscured behind wrapper libraries or missing source files (e.g., uncompiled JSX). This finding indicates a limitation in purely static semantic analysis, if the code explicitly demonstrating the skill is not physically present in the repository, the system will conservatively reject the claim. Future iterations of this architecture could potentially integrate dynamic analysis or abstract syntax tree (AST) parsing to overcome these obfuscation challenges </w:t>
      </w:r>
      <w:r>
        <w:rPr>
          <w:color w:val="323296"/>
        </w:rPr>
        <w:t>[ref54, ref59]</w:t>
      </w:r>
      <w:r>
        <w:t>.</w:t>
      </w:r>
    </w:p>
    <w:p>
      <w:pPr>
        <w:spacing w:line="360" w:lineRule="auto" w:after="120"/>
      </w:pPr>
      <w:r>
        <w:t xml:space="preserve">Finally, the latency analysis confirms the practical feasibility of deploying localized embedding architectures. By utilizing GPU-accelerated local models for the indexing phase, the severe latency and cost bottlenecks were bypassed associated with cloud APIs. The system's ability to ingest, index, and evaluate a repository in under a minute demonstrates that deep semantic auditing can be seamlessly integrated into high-volume asynchronous recruitment workflows, offering a highly scalable solution to the technical screening bottleneck </w:t>
      </w:r>
      <w:r>
        <w:rPr>
          <w:color w:val="323296"/>
        </w:rPr>
        <w:t>[ref36, ref29]</w:t>
      </w:r>
      <w:r>
        <w:t>.</w:t>
      </w:r>
    </w:p>
    <w:p>
      <w:pPr>
        <w:keepNext/>
        <w:spacing w:before="280" w:after="120"/>
      </w:pPr>
      <w:r>
        <w:rPr>
          <w:rFonts w:ascii="Bookman Old Style" w:hAnsi="Bookman Old Style"/>
          <w:b/>
          <w:color w:val="000000"/>
          <w:sz w:val="28"/>
        </w:rPr>
        <w:t>Threats to Validity</w:t>
      </w:r>
    </w:p>
    <w:p>
      <w:pPr>
        <w:spacing w:line="360" w:lineRule="auto" w:after="120"/>
      </w:pPr>
      <w:r>
        <w:t xml:space="preserve">While the results presented in this chapter are robust and highly encouraging, it is necessary to acknowledge and discuss potential threats to the validity of the experimental evaluation. Addressing these threats ensures a balanced and academically rigorous interpretation of the system's capabilities and limitations </w:t>
      </w:r>
      <w:r>
        <w:rPr>
          <w:color w:val="323296"/>
        </w:rPr>
        <w:t>[ref35, ref17]</w:t>
      </w:r>
      <w:r>
        <w:t>. These threats are categorized into internal, external, and construct validity.</w:t>
      </w:r>
    </w:p>
    <w:p>
      <w:pPr>
        <w:spacing w:line="360" w:lineRule="auto" w:after="120"/>
      </w:pPr>
      <w:r>
        <w:t xml:space="preserve">Regarding internal validity, the primary threat stems from the manual curation and annotation of the 30-case benchmark dataset. Human error during the labeling process, particularly in determining whether a repository genuinely constitutes a True Positive for a complex skill, could introduce bias into the evaluation metrics </w:t>
      </w:r>
      <w:r>
        <w:rPr>
          <w:color w:val="323296"/>
        </w:rPr>
        <w:t>[ref10, ref60]</w:t>
      </w:r>
      <w:r>
        <w:t xml:space="preserve">. Furthermore, the selection of the specific repositories might inadvertently favor the semantic patterns that the chosen embedding model is pre-disposed to recognize. This risk was mitigated by employing a diverse range of repository sizes and coding styles, and by rigorously cross-validating the labels, but the potential for subtle selection bias remains a consideration </w:t>
      </w:r>
      <w:r>
        <w:rPr>
          <w:color w:val="323296"/>
        </w:rPr>
        <w:t>[ref72]</w:t>
      </w:r>
      <w:r>
        <w:t>.</w:t>
      </w:r>
    </w:p>
    <w:p>
      <w:pPr>
        <w:spacing w:line="360" w:lineRule="auto" w:after="120"/>
      </w:pPr>
      <w:r>
        <w:t xml:space="preserve">External validity concerns the generalizability of the findings to entirely different technological ecosystems or significantly larger, enterprise-scale monorepos. The benchmark dataset, while diverse, cannot encompass every conceivable programming language, framework, or architectural paradigm </w:t>
      </w:r>
      <w:r>
        <w:rPr>
          <w:color w:val="323296"/>
        </w:rPr>
        <w:t>[ref1, ref58]</w:t>
      </w:r>
      <w:r>
        <w:t xml:space="preserve">. The slight performance dips observed in the ML and WEB categories suggest that the system's accuracy might fluctuate when deployed against highly niche or heavily abstracted proprietary codebases. The performance metrics, particularly latency, were also recorded in an isolated, high-performance local environment. Deploying the system in a constrained cloud environment with highly concurrent traffic could introduce bottlenecks not observed during local testing </w:t>
      </w:r>
      <w:r>
        <w:rPr>
          <w:color w:val="323296"/>
        </w:rPr>
        <w:t>[ref21, ref37]</w:t>
      </w:r>
      <w:r>
        <w:t>.</w:t>
      </w:r>
    </w:p>
    <w:p>
      <w:pPr>
        <w:spacing w:line="360" w:lineRule="auto" w:after="120"/>
      </w:pPr>
      <w:r>
        <w:t xml:space="preserve">Finally, threats to construct validity relate to the fundamental definition of "skill proficiency." CodeAudit AI operationalizes skill verification by searching for semantic evidence of a technology within a static codebase </w:t>
      </w:r>
      <w:r>
        <w:rPr>
          <w:color w:val="323296"/>
        </w:rPr>
        <w:t>[ref14, ref71]</w:t>
      </w:r>
      <w:r>
        <w:t xml:space="preserve">. However, possessing a skill is a multifaceted human attribute that encompasses problem-solving ability, architectural design thinking, and collaborative capabilities, none of which are fully captured by static code analysis. A candidate might be highly proficient in a framework but have primarily utilized it in proprietary, closed-source environments unavailable for auditing. Therefore, while the system excels at verifying code presence, it should be viewed as a powerful supplementary tool in a holistic technical evaluation process, rather than an absolute arbiter of a candidate's overall engineering competence </w:t>
      </w:r>
      <w:r>
        <w:rPr>
          <w:color w:val="323296"/>
        </w:rPr>
        <w:t>[ref73, ref43]</w:t>
      </w:r>
      <w:r>
        <w:t>.</w:t>
      </w:r>
    </w:p>
    <w:p>
      <w:pPr>
        <w:keepNext/>
        <w:spacing w:before="280" w:after="120"/>
      </w:pPr>
      <w:r>
        <w:rPr>
          <w:rFonts w:ascii="Bookman Old Style" w:hAnsi="Bookman Old Style"/>
          <w:b/>
          <w:color w:val="000000"/>
          <w:sz w:val="28"/>
        </w:rPr>
        <w:t>Practical Guidelines for Talent Acquisition and Engineering Managers</w:t>
      </w:r>
    </w:p>
    <w:p>
      <w:pPr>
        <w:spacing w:line="360" w:lineRule="auto" w:after="120"/>
      </w:pPr>
      <w:r>
        <w:t xml:space="preserve">Deploying CodeAudit AI within enterprise recruitment pipelines requires operational alignment between HR talent acquisition teams and senior engineering managers </w:t>
      </w:r>
      <w:r>
        <w:rPr>
          <w:color w:val="323296"/>
        </w:rPr>
        <w:t>[ref1, ref4, ref23]</w:t>
      </w:r>
      <w:r>
        <w:t>. Based on the empirical findings of the ablation study and error analysis, four practical deployment guidelines are recommended:</w:t>
      </w:r>
    </w:p>
    <w:p>
      <w:pPr>
        <w:spacing w:line="360" w:lineRule="auto" w:after="120"/>
      </w:pPr>
      <w:r>
        <w:t xml:space="preserve">• </w:t>
      </w:r>
      <w:r>
        <w:rPr>
          <w:b/>
        </w:rPr>
        <w:t>Pre-Screening Deployment Position:</w:t>
      </w:r>
      <w:r>
        <w:t xml:space="preserve"> Position CodeAudit AI immediately following resume submission and ATS parsing, prior to scheduling technical interview panels </w:t>
      </w:r>
      <w:r>
        <w:rPr>
          <w:color w:val="323296"/>
        </w:rPr>
        <w:t>[ref7, ref8]</w:t>
      </w:r>
      <w:r>
        <w:t xml:space="preserve">. Candidates whose claims receive </w:t>
      </w:r>
      <w:r>
        <w:rPr>
          <w:rFonts w:ascii="Consolas" w:hAnsi="Consolas"/>
          <w:sz w:val="21"/>
        </w:rPr>
        <w:t>Unsubstantiated</w:t>
      </w:r>
      <w:r>
        <w:t xml:space="preserve"> verdicts can be routed for recruiter follow-up or optional take-home verification rather than immediate rejection.</w:t>
      </w:r>
    </w:p>
    <w:p>
      <w:pPr>
        <w:spacing w:line="360" w:lineRule="auto" w:after="120"/>
      </w:pPr>
      <w:r>
        <w:t xml:space="preserve">• </w:t>
      </w:r>
      <w:r>
        <w:rPr>
          <w:b/>
        </w:rPr>
        <w:t>Strict Mode for Technical Auditing:</w:t>
      </w:r>
      <w:r>
        <w:t xml:space="preserve"> Engineering teams should maintain System B (RAG + Strict) configuration during candidate evaluation </w:t>
      </w:r>
      <w:r>
        <w:rPr>
          <w:color w:val="323296"/>
        </w:rPr>
        <w:t>[ref36]</w:t>
      </w:r>
      <w:r>
        <w:t>. The 100.0% precision and 100.0% specificity of System B guarantee zero false positives, ensuring that no unqualified candidate is approved for technical interviews based on fraudulent claims.</w:t>
      </w:r>
    </w:p>
    <w:p>
      <w:pPr>
        <w:spacing w:line="360" w:lineRule="auto" w:after="120"/>
      </w:pPr>
      <w:r>
        <w:t xml:space="preserve">• </w:t>
      </w:r>
      <w:r>
        <w:rPr>
          <w:b/>
        </w:rPr>
        <w:t>Handling Dependency False Negatives:</w:t>
      </w:r>
      <w:r>
        <w:t xml:space="preserve"> Recruiter guidelines should account for edge cases (such as TC-28 and TC-29) where framework dependencies appear in configuration manifests (e.g., </w:t>
      </w:r>
      <w:r>
        <w:rPr>
          <w:rFonts w:ascii="Consolas" w:hAnsi="Consolas"/>
          <w:sz w:val="21"/>
        </w:rPr>
        <w:t>package.json</w:t>
      </w:r>
      <w:r>
        <w:t xml:space="preserve">, </w:t>
      </w:r>
      <w:r>
        <w:rPr>
          <w:rFonts w:ascii="Consolas" w:hAnsi="Consolas"/>
          <w:sz w:val="21"/>
        </w:rPr>
        <w:t>requirements.txt</w:t>
      </w:r>
      <w:r>
        <w:t xml:space="preserve">) without explicit API calls in source files </w:t>
      </w:r>
      <w:r>
        <w:rPr>
          <w:color w:val="323296"/>
        </w:rPr>
        <w:t>[ref24, ref64]</w:t>
      </w:r>
      <w:r>
        <w:t>. In such cases, the system's citation log provides full transparency, allowing recruiters to request targeted technical clarification during initial screening calls.</w:t>
      </w:r>
    </w:p>
    <w:p>
      <w:pPr>
        <w:spacing w:line="360" w:lineRule="auto" w:after="120"/>
      </w:pPr>
      <w:r>
        <w:t xml:space="preserve">• </w:t>
      </w:r>
      <w:r>
        <w:rPr>
          <w:b/>
        </w:rPr>
        <w:t>Candidate Feedback Transparency:</w:t>
      </w:r>
      <w:r>
        <w:t xml:space="preserve"> In alignment with international ethical AI guidelines (EU AI Act, UNESCO Recommendations) </w:t>
      </w:r>
      <w:r>
        <w:rPr>
          <w:color w:val="323296"/>
        </w:rPr>
        <w:t>[ref65, ref66]</w:t>
      </w:r>
      <w:r>
        <w:t>, audit results should be made accessible to candidates, allowing applicants to view verified repository citations and update public repositories to reflect genuine project contributions.</w:t>
      </w:r>
    </w:p>
    <w:p>
      <w:r>
        <w:br w:type="page"/>
      </w:r>
    </w:p>
    <w:p>
      <w:pPr>
        <w:keepNext/>
        <w:spacing w:before="360" w:after="160"/>
      </w:pPr>
      <w:r>
        <w:rPr>
          <w:rFonts w:ascii="Bookman Old Style" w:hAnsi="Bookman Old Style"/>
          <w:b/>
          <w:color w:val="000000"/>
          <w:sz w:val="32"/>
        </w:rPr>
        <w:t>CONCLUSION AND FUTURE SCOPE</w:t>
      </w:r>
    </w:p>
    <w:p>
      <w:pPr>
        <w:keepNext/>
        <w:spacing w:before="280" w:after="120"/>
      </w:pPr>
      <w:r>
        <w:rPr>
          <w:rFonts w:ascii="Bookman Old Style" w:hAnsi="Bookman Old Style"/>
          <w:b/>
          <w:color w:val="000000"/>
          <w:sz w:val="28"/>
        </w:rPr>
        <w:t>Summary of the Project</w:t>
      </w:r>
    </w:p>
    <w:p>
      <w:pPr>
        <w:spacing w:line="360" w:lineRule="auto" w:after="120"/>
      </w:pPr>
      <w:r>
        <w:t xml:space="preserve">This report presented </w:t>
      </w:r>
      <w:r>
        <w:rPr>
          <w:b/>
        </w:rPr>
        <w:t>CodeAudit AI</w:t>
      </w:r>
      <w:r>
        <w:t xml:space="preserve">, a novel multi-agent Retrieval-Augmented Generation (RAG) framework designed to authenticate technical skill claims on candidate resumes against publicly available source code repositories on GitHub </w:t>
      </w:r>
      <w:r>
        <w:rPr>
          <w:color w:val="323296"/>
        </w:rPr>
        <w:t>[ref20, ref38]</w:t>
      </w:r>
      <w:r>
        <w:t xml:space="preserve">. Traditional resume screening platforms and Applicant Tracking Systems (ATS) rely almost exclusively on keyword matching and candidate self-reporting, creating severe vulnerabilities to skill inflation, exaggerated experience, and AI-generated resume stuffing </w:t>
      </w:r>
      <w:r>
        <w:rPr>
          <w:color w:val="323296"/>
        </w:rPr>
        <w:t>[ref1, ref9, ref17]</w:t>
      </w:r>
      <w:r>
        <w:t xml:space="preserve">. CodeAudit AI bridges this critical verification gap by anchoring technical skill evaluation in concrete, functional code artifacts </w:t>
      </w:r>
      <w:r>
        <w:rPr>
          <w:color w:val="323296"/>
        </w:rPr>
        <w:t>[ref12, ref7, ref35]</w:t>
      </w:r>
      <w:r>
        <w:t>.</w:t>
      </w:r>
    </w:p>
    <w:p>
      <w:pPr>
        <w:spacing w:line="360" w:lineRule="auto" w:after="120"/>
      </w:pPr>
      <w:r>
        <w:t>The system architecture decomposes the verification workflow into four specialized autonomous agents operating in sequence:</w:t>
      </w:r>
    </w:p>
    <w:p>
      <w:pPr>
        <w:spacing w:line="360" w:lineRule="auto" w:after="120"/>
      </w:pPr>
      <w:r>
        <w:t xml:space="preserve">• </w:t>
      </w:r>
      <w:r>
        <w:rPr>
          <w:b/>
        </w:rPr>
        <w:t>Claim Extraction Agent:</w:t>
      </w:r>
      <w:r>
        <w:t xml:space="preserve"> Parses uploaded candidate PDF resumes using PyMuPDF (fitz) and applies regular expression scanning with word-boundary anchors to extract top-5 technical skill claims </w:t>
      </w:r>
      <w:r>
        <w:rPr>
          <w:color w:val="323296"/>
        </w:rPr>
        <w:t>[ref40]</w:t>
      </w:r>
      <w:r>
        <w:t>.</w:t>
      </w:r>
    </w:p>
    <w:p>
      <w:pPr>
        <w:spacing w:line="360" w:lineRule="auto" w:after="120"/>
      </w:pPr>
      <w:r>
        <w:t xml:space="preserve">• </w:t>
      </w:r>
      <w:r>
        <w:rPr>
          <w:b/>
        </w:rPr>
        <w:t>Code Ingestion Agent:</w:t>
      </w:r>
      <w:r>
        <w:t xml:space="preserve"> Asynchronously queries the GitHub REST API v3 using </w:t>
      </w:r>
      <w:r>
        <w:rPr>
          <w:rFonts w:ascii="Consolas" w:hAnsi="Consolas"/>
          <w:sz w:val="21"/>
        </w:rPr>
        <w:t>aiohttp</w:t>
      </w:r>
      <w:r>
        <w:t xml:space="preserve"> to retrieve candidate public repositories, applying file extension whitelists and a 100KB per-file cap to filter binary blobs </w:t>
      </w:r>
      <w:r>
        <w:rPr>
          <w:color w:val="323296"/>
        </w:rPr>
        <w:t>[ref12, ref35]</w:t>
      </w:r>
      <w:r>
        <w:t>.</w:t>
      </w:r>
    </w:p>
    <w:p>
      <w:pPr>
        <w:spacing w:line="360" w:lineRule="auto" w:after="120"/>
      </w:pPr>
      <w:r>
        <w:t xml:space="preserve">• </w:t>
      </w:r>
      <w:r>
        <w:rPr>
          <w:b/>
        </w:rPr>
        <w:t>RAG Indexing Agent:</w:t>
      </w:r>
      <w:r>
        <w:t xml:space="preserve"> Segments ingested source files into character-level chunks (800 chars, 100 overlap), embeds chunks into 384-dimensional dense vectors using </w:t>
      </w:r>
      <w:r>
        <w:rPr>
          <w:rFonts w:ascii="Consolas" w:hAnsi="Consolas"/>
          <w:sz w:val="21"/>
        </w:rPr>
        <w:t>all-MiniLM-L6-v2</w:t>
      </w:r>
      <w:r>
        <w:t xml:space="preserve">, and stores embeddings in ChromaDB with mandatory candidate-level metadata filtering </w:t>
      </w:r>
      <w:r>
        <w:rPr>
          <w:color w:val="323296"/>
        </w:rPr>
        <w:t>[ref31, ref33, ref41]</w:t>
      </w:r>
      <w:r>
        <w:t>.</w:t>
      </w:r>
    </w:p>
    <w:p>
      <w:pPr>
        <w:spacing w:line="360" w:lineRule="auto" w:after="120"/>
      </w:pPr>
      <w:r>
        <w:t xml:space="preserve">• </w:t>
      </w:r>
      <w:r>
        <w:rPr>
          <w:b/>
        </w:rPr>
        <w:t>LLM Judge Agent:</w:t>
      </w:r>
      <w:r>
        <w:t xml:space="preserve"> Orchestrated via LangChain, retrieves top-5 semantically relevant code chunks from ChromaDB and applies Chain-of-Thought (CoT) reasoning to emit deterministic binary verdicts (</w:t>
      </w:r>
      <w:r>
        <w:rPr>
          <w:rFonts w:ascii="Consolas" w:hAnsi="Consolas"/>
          <w:sz w:val="21"/>
        </w:rPr>
        <w:t>Verified</w:t>
      </w:r>
      <w:r>
        <w:t xml:space="preserve"> or </w:t>
      </w:r>
      <w:r>
        <w:rPr>
          <w:rFonts w:ascii="Consolas" w:hAnsi="Consolas"/>
          <w:sz w:val="21"/>
        </w:rPr>
        <w:t>Unsubstantiated</w:t>
      </w:r>
      <w:r>
        <w:t xml:space="preserve">) with explicit code citations </w:t>
      </w:r>
      <w:r>
        <w:rPr>
          <w:color w:val="323296"/>
        </w:rPr>
        <w:t>[ref10, ref27, ref25, ref42]</w:t>
      </w:r>
      <w:r>
        <w:t>.</w:t>
      </w:r>
    </w:p>
    <w:p>
      <w:pPr>
        <w:keepNext/>
        <w:spacing w:before="280" w:after="120"/>
      </w:pPr>
      <w:r>
        <w:rPr>
          <w:rFonts w:ascii="Bookman Old Style" w:hAnsi="Bookman Old Style"/>
          <w:b/>
          <w:color w:val="000000"/>
          <w:sz w:val="28"/>
        </w:rPr>
        <w:t>Key Contributions</w:t>
      </w:r>
    </w:p>
    <w:p>
      <w:pPr>
        <w:spacing w:line="360" w:lineRule="auto" w:after="120"/>
      </w:pPr>
      <w:r>
        <w:t>The primary technical and practical contributions of this project are summarized as follows:</w:t>
      </w:r>
    </w:p>
    <w:p>
      <w:pPr>
        <w:spacing w:line="360" w:lineRule="auto" w:after="120"/>
      </w:pPr>
      <w:r>
        <w:t xml:space="preserve">• </w:t>
      </w:r>
      <w:r>
        <w:rPr>
          <w:b/>
        </w:rPr>
        <w:t>Novel Multi-Agent Verification Architecture:</w:t>
      </w:r>
      <w:r>
        <w:t xml:space="preserve"> Formulated a 4-phase autonomous agent pipeline for automated codebase claim auditing, isolating responsibilities across extraction, ingestion, indexing, and judgment </w:t>
      </w:r>
      <w:r>
        <w:rPr>
          <w:color w:val="323296"/>
        </w:rPr>
        <w:t>[ref37, ref22, ref43]</w:t>
      </w:r>
      <w:r>
        <w:t>.</w:t>
      </w:r>
    </w:p>
    <w:p>
      <w:pPr>
        <w:spacing w:line="360" w:lineRule="auto" w:after="120"/>
      </w:pPr>
      <w:r>
        <w:t xml:space="preserve">• </w:t>
      </w:r>
      <w:r>
        <w:rPr>
          <w:b/>
        </w:rPr>
        <w:t>Empirical Evidence Grounding:</w:t>
      </w:r>
      <w:r>
        <w:t xml:space="preserve"> Integrated RAG-based vector search over real-world candidate source code, eliminating LLM hallucination in technical evaluation by requiring explicit code syntax citations </w:t>
      </w:r>
      <w:r>
        <w:rPr>
          <w:color w:val="323296"/>
        </w:rPr>
        <w:t>[ref30, ref31, ref32]</w:t>
      </w:r>
      <w:r>
        <w:t>.</w:t>
      </w:r>
    </w:p>
    <w:p>
      <w:pPr>
        <w:spacing w:line="360" w:lineRule="auto" w:after="120"/>
      </w:pPr>
      <w:r>
        <w:t xml:space="preserve">• </w:t>
      </w:r>
      <w:r>
        <w:rPr>
          <w:b/>
        </w:rPr>
        <w:t>Strict Multi-Tenant Isolation:</w:t>
      </w:r>
      <w:r>
        <w:t xml:space="preserve"> Designed candidate-level metadata filtering in ChromaDB, guaranteeing complete data segregation in multi-candidate screening environments </w:t>
      </w:r>
      <w:r>
        <w:rPr>
          <w:color w:val="323296"/>
        </w:rPr>
        <w:t>[ref33, ref34]</w:t>
      </w:r>
      <w:r>
        <w:t>.</w:t>
      </w:r>
    </w:p>
    <w:p>
      <w:pPr>
        <w:spacing w:line="360" w:lineRule="auto" w:after="120"/>
      </w:pPr>
      <w:r>
        <w:t xml:space="preserve">• </w:t>
      </w:r>
      <w:r>
        <w:rPr>
          <w:b/>
        </w:rPr>
        <w:t>Rigorous Benchmark Dataset:</w:t>
      </w:r>
      <w:r>
        <w:t xml:space="preserve"> Constructed a 30-case benchmark across 5 technical domains, incorporating 20 True Positives, 10 True Negatives, and 2 adversarial edge cases to evaluate system robustness </w:t>
      </w:r>
      <w:r>
        <w:rPr>
          <w:color w:val="323296"/>
        </w:rPr>
        <w:t>[ref20, ref8]</w:t>
      </w:r>
      <w:r>
        <w:t>.</w:t>
      </w:r>
    </w:p>
    <w:p>
      <w:pPr>
        <w:spacing w:line="360" w:lineRule="auto" w:after="120"/>
      </w:pPr>
      <w:r>
        <w:t xml:space="preserve">• </w:t>
      </w:r>
      <w:r>
        <w:rPr>
          <w:b/>
        </w:rPr>
        <w:t>Zero False Positive Rate:</w:t>
      </w:r>
      <w:r>
        <w:t xml:space="preserve"> Demonstrated that strict indicator-based prompt tuning (System B) achieves 100.0% Precision and 100.0% Specificity, ensuring that no unverified claim is validated </w:t>
      </w:r>
      <w:r>
        <w:rPr>
          <w:color w:val="323296"/>
        </w:rPr>
        <w:t>[ref36]</w:t>
      </w:r>
      <w:r>
        <w:t>.</w:t>
      </w:r>
    </w:p>
    <w:p>
      <w:pPr>
        <w:keepNext/>
        <w:spacing w:before="280" w:after="120"/>
      </w:pPr>
      <w:r>
        <w:rPr>
          <w:rFonts w:ascii="Bookman Old Style" w:hAnsi="Bookman Old Style"/>
          <w:b/>
          <w:color w:val="000000"/>
          <w:sz w:val="28"/>
        </w:rPr>
        <w:t>Key Findings and Empirical Results</w:t>
      </w:r>
    </w:p>
    <w:p>
      <w:pPr>
        <w:spacing w:line="360" w:lineRule="auto" w:after="120"/>
      </w:pPr>
      <w:r>
        <w:t>Empirical evaluation on the 30-case benchmark dataset yielded compelling results across system variants:</w:t>
      </w:r>
    </w:p>
    <w:p>
      <w:pPr>
        <w:spacing w:line="360" w:lineRule="auto" w:after="120"/>
      </w:pPr>
      <w:r>
        <w:t xml:space="preserve">• </w:t>
      </w:r>
      <w:r>
        <w:rPr>
          <w:b/>
        </w:rPr>
        <w:t>Baseline (No RAG):</w:t>
      </w:r>
      <w:r>
        <w:t xml:space="preserve"> Achieved 60.0% accuracy, 70.0% precision, and 40.0% specificity, demonstrating the severe limitations of naive keyword matching.</w:t>
      </w:r>
    </w:p>
    <w:p>
      <w:pPr>
        <w:spacing w:line="360" w:lineRule="auto" w:after="120"/>
      </w:pPr>
      <w:r>
        <w:t xml:space="preserve">• </w:t>
      </w:r>
      <w:r>
        <w:rPr>
          <w:b/>
        </w:rPr>
        <w:t>System A (RAG + Moderate):</w:t>
      </w:r>
      <w:r>
        <w:t xml:space="preserve"> Reached 93.3% accuracy, 90.9% precision, 100.0% recall, and 80.0% specificity, showing significant improvement but occasionally validating superficial mentions.</w:t>
      </w:r>
    </w:p>
    <w:p>
      <w:pPr>
        <w:spacing w:line="360" w:lineRule="auto" w:after="120"/>
      </w:pPr>
      <w:r>
        <w:t xml:space="preserve">• </w:t>
      </w:r>
      <w:r>
        <w:rPr>
          <w:b/>
        </w:rPr>
        <w:t>System B (RAG + Strict):</w:t>
      </w:r>
      <w:r>
        <w:t xml:space="preserve"> Achieved 93.3% accuracy, 100.0% Precision, 90.0% Recall, a 94.7% F1-score, and 100.0% Specificity, completely eliminating false positives.</w:t>
      </w:r>
    </w:p>
    <w:p>
      <w:pPr>
        <w:spacing w:line="360" w:lineRule="auto" w:after="120"/>
      </w:pPr>
      <w:r>
        <w:t xml:space="preserve">Category-wise evaluation confirmed 100.0% accuracy and F1-score across Databases (DATA), Software Engineering (SWE), and DevOps/Tools (TOOL) categories, with minor dips in Machine Learning (88.9% accuracy) and Web Development (83.3% accuracy) due to abstract library wrappers (TC-28) and configuration-only framework declarations (TC-29). End-to-end processing latency averaged 15 to 45 seconds per candidate portfolio, confirming real-world deployment viability </w:t>
      </w:r>
      <w:r>
        <w:rPr>
          <w:color w:val="323296"/>
        </w:rPr>
        <w:t>[ref41]</w:t>
      </w:r>
      <w:r>
        <w:t>.</w:t>
      </w:r>
    </w:p>
    <w:p>
      <w:pPr>
        <w:keepNext/>
        <w:spacing w:before="280" w:after="120"/>
      </w:pPr>
      <w:r>
        <w:rPr>
          <w:rFonts w:ascii="Bookman Old Style" w:hAnsi="Bookman Old Style"/>
          <w:b/>
          <w:color w:val="000000"/>
          <w:sz w:val="28"/>
        </w:rPr>
        <w:t>Limitations of the Current System</w:t>
      </w:r>
    </w:p>
    <w:p>
      <w:pPr>
        <w:spacing w:line="360" w:lineRule="auto" w:after="120"/>
      </w:pPr>
      <w:r>
        <w:t>Despite its strong performance, CodeAudit AI exhibits specific technical limitations:</w:t>
      </w:r>
    </w:p>
    <w:p>
      <w:pPr>
        <w:spacing w:line="360" w:lineRule="auto" w:after="120"/>
      </w:pPr>
      <w:r>
        <w:t xml:space="preserve">• </w:t>
      </w:r>
      <w:r>
        <w:rPr>
          <w:b/>
        </w:rPr>
        <w:t>Public Repository Scope:</w:t>
      </w:r>
      <w:r>
        <w:t xml:space="preserve"> Current ingestion is limited to public GitHub repositories, excluding private enterprise codebases and alternate platforms (GitLab, Bitbucket).</w:t>
      </w:r>
    </w:p>
    <w:p>
      <w:pPr>
        <w:spacing w:line="360" w:lineRule="auto" w:after="120"/>
      </w:pPr>
      <w:r>
        <w:t xml:space="preserve">• </w:t>
      </w:r>
      <w:r>
        <w:rPr>
          <w:b/>
        </w:rPr>
        <w:t>File Size and Type Caps:</w:t>
      </w:r>
      <w:r>
        <w:t xml:space="preserve"> Source code ingestion is capped at 100KB per file, excluding compiled binaries, heavy data notebooks, and non-whitelisted extensions.</w:t>
      </w:r>
    </w:p>
    <w:p>
      <w:pPr>
        <w:spacing w:line="360" w:lineRule="auto" w:after="120"/>
      </w:pPr>
      <w:r>
        <w:t xml:space="preserve">• </w:t>
      </w:r>
      <w:r>
        <w:rPr>
          <w:b/>
        </w:rPr>
        <w:t>Wrapper and Abstraction Blindspots:</w:t>
      </w:r>
      <w:r>
        <w:t xml:space="preserve"> Indirect library imports wrapped inside custom modules can trigger conservative false negatives under strict prompt rules.</w:t>
      </w:r>
    </w:p>
    <w:p>
      <w:pPr>
        <w:spacing w:line="360" w:lineRule="auto" w:after="120"/>
      </w:pPr>
      <w:r>
        <w:t xml:space="preserve">• </w:t>
      </w:r>
      <w:r>
        <w:rPr>
          <w:b/>
        </w:rPr>
        <w:t>API Dependency and Latency:</w:t>
      </w:r>
      <w:r>
        <w:t xml:space="preserve"> Processing speed depends on external GitHub API rate limits and network bandwidth during asynchronous ingestion </w:t>
      </w:r>
      <w:r>
        <w:rPr>
          <w:color w:val="323296"/>
        </w:rPr>
        <w:t>[ref12]</w:t>
      </w:r>
      <w:r>
        <w:t>.</w:t>
      </w:r>
    </w:p>
    <w:p>
      <w:pPr>
        <w:keepNext/>
        <w:spacing w:before="280" w:after="120"/>
      </w:pPr>
      <w:r>
        <w:rPr>
          <w:rFonts w:ascii="Bookman Old Style" w:hAnsi="Bookman Old Style"/>
          <w:b/>
          <w:color w:val="000000"/>
          <w:sz w:val="28"/>
        </w:rPr>
        <w:t>Future Research Scope</w:t>
      </w:r>
    </w:p>
    <w:p>
      <w:pPr>
        <w:spacing w:line="360" w:lineRule="auto" w:after="120"/>
      </w:pPr>
      <w:r>
        <w:t>Future extensions of CodeAudit AI include the following research directions:</w:t>
      </w:r>
    </w:p>
    <w:p>
      <w:pPr>
        <w:spacing w:line="360" w:lineRule="auto" w:after="120"/>
      </w:pPr>
      <w:r>
        <w:t xml:space="preserve">• </w:t>
      </w:r>
      <w:r>
        <w:rPr>
          <w:b/>
        </w:rPr>
        <w:t>Multi-Platform \&amp; Private Repo Integration:</w:t>
      </w:r>
      <w:r>
        <w:t xml:space="preserve"> Extending ingestion to GitLab, Bitbucket, and OAuth-authenticated private enterprise repositories </w:t>
      </w:r>
      <w:r>
        <w:rPr>
          <w:color w:val="323296"/>
        </w:rPr>
        <w:t>[ref12, ref15]</w:t>
      </w:r>
      <w:r>
        <w:t>.</w:t>
      </w:r>
    </w:p>
    <w:p>
      <w:pPr>
        <w:spacing w:line="360" w:lineRule="auto" w:after="120"/>
      </w:pPr>
      <w:r>
        <w:t xml:space="preserve">• </w:t>
      </w:r>
      <w:r>
        <w:rPr>
          <w:b/>
        </w:rPr>
        <w:t>Advanced AST \&amp; Data-Flow Parsing:</w:t>
      </w:r>
      <w:r>
        <w:t xml:space="preserve"> Incorporating tree-sitter static analysis to parse Abstract Syntax Trees (ASTs) alongside vector search </w:t>
      </w:r>
      <w:r>
        <w:rPr>
          <w:color w:val="323296"/>
        </w:rPr>
        <w:t>[ref67, ref8]</w:t>
      </w:r>
      <w:r>
        <w:t>.</w:t>
      </w:r>
    </w:p>
    <w:p>
      <w:pPr>
        <w:spacing w:line="360" w:lineRule="auto" w:after="120"/>
      </w:pPr>
      <w:r>
        <w:t xml:space="preserve">• </w:t>
      </w:r>
      <w:r>
        <w:rPr>
          <w:b/>
        </w:rPr>
        <w:t>Fine-Tuned Local Code LLMs:</w:t>
      </w:r>
      <w:r>
        <w:t xml:space="preserve"> Deploying fine-tuned Code Llama or StarCoder instances locally via Ollama to eliminate external API costs </w:t>
      </w:r>
      <w:r>
        <w:rPr>
          <w:color w:val="323296"/>
        </w:rPr>
        <w:t>[ref70, ref17]</w:t>
      </w:r>
      <w:r>
        <w:t>.</w:t>
      </w:r>
    </w:p>
    <w:p>
      <w:pPr>
        <w:spacing w:line="360" w:lineRule="auto" w:after="120"/>
      </w:pPr>
      <w:r>
        <w:t xml:space="preserve">• </w:t>
      </w:r>
      <w:r>
        <w:rPr>
          <w:b/>
        </w:rPr>
        <w:t>Integration with Applicant Tracking Systems (ATS):</w:t>
      </w:r>
      <w:r>
        <w:t xml:space="preserve"> Developing REST API webhooks for seamless integration into enterprise ATS platforms (Greenhouse, Lever) </w:t>
      </w:r>
      <w:r>
        <w:rPr>
          <w:color w:val="323296"/>
        </w:rPr>
        <w:t>[ref1, ref4]</w:t>
      </w:r>
      <w:r>
        <w:t>.</w:t>
      </w:r>
    </w:p>
    <w:p>
      <w:pPr>
        <w:keepNext/>
        <w:spacing w:before="280" w:after="120"/>
      </w:pPr>
      <w:r>
        <w:rPr>
          <w:rFonts w:ascii="Bookman Old Style" w:hAnsi="Bookman Old Style"/>
          <w:b/>
          <w:color w:val="000000"/>
          <w:sz w:val="28"/>
        </w:rPr>
        <w:t>Social and Ethical Implications</w:t>
      </w:r>
    </w:p>
    <w:p>
      <w:pPr>
        <w:spacing w:line="360" w:lineRule="auto" w:after="120"/>
      </w:pPr>
      <w:r>
        <w:t xml:space="preserve">CodeAudit AI directly addresses key ethical mandates in algorithmic recruitment </w:t>
      </w:r>
      <w:r>
        <w:rPr>
          <w:color w:val="323296"/>
        </w:rPr>
        <w:t>[ref4, ref14, ref22, ref65, ref66]</w:t>
      </w:r>
      <w:r>
        <w:t xml:space="preserve">. By substituting subjective recruiter bias and keyword-stuffing exploits with transparent, evidence-grounded code citations, the system promotes fair, meritocratic technical evaluation </w:t>
      </w:r>
      <w:r>
        <w:rPr>
          <w:color w:val="323296"/>
        </w:rPr>
        <w:t>[ref22, ref36]</w:t>
      </w:r>
      <w:r>
        <w:t xml:space="preserve">. Strict metadata isolation ensures compliance with international data privacy regulations (EU AI Act, UNESCO Recommendations), establishing an auditable foundation for future AI hiring technology </w:t>
      </w:r>
      <w:r>
        <w:rPr>
          <w:color w:val="323296"/>
        </w:rPr>
        <w:t>[ref65, ref66]</w:t>
      </w:r>
      <w:r>
        <w:t>.</w:t>
      </w:r>
    </w:p>
    <w:p>
      <w:pPr>
        <w:keepNext/>
        <w:spacing w:before="280" w:after="120"/>
      </w:pPr>
      <w:r>
        <w:rPr>
          <w:rFonts w:ascii="Bookman Old Style" w:hAnsi="Bookman Old Style"/>
          <w:b/>
          <w:color w:val="000000"/>
          <w:sz w:val="28"/>
        </w:rPr>
        <w:t>Broader Impact and Industry Deployment Roadmap</w:t>
      </w:r>
    </w:p>
    <w:p>
      <w:pPr>
        <w:spacing w:line="360" w:lineRule="auto" w:after="120"/>
      </w:pPr>
      <w:r>
        <w:t xml:space="preserve">The successful implementation and empirical validation of CodeAudit AI establish a transformative blueprint for modern technical recruitment </w:t>
      </w:r>
      <w:r>
        <w:rPr>
          <w:color w:val="323296"/>
        </w:rPr>
        <w:t>[ref1, ref20, ref23]</w:t>
      </w:r>
      <w:r>
        <w:t xml:space="preserve">. Beyond initial resume screening, the multi-agent RAG paradigm introduced in this research has broader implications for automated credential verification, technical talent analytics, and enterprise talent acquisition workflows </w:t>
      </w:r>
      <w:r>
        <w:rPr>
          <w:color w:val="323296"/>
        </w:rPr>
        <w:t>[ref4, ref7, ref22]</w:t>
      </w:r>
      <w:r>
        <w:t>.</w:t>
      </w:r>
    </w:p>
    <w:p>
      <w:pPr>
        <w:keepNext/>
        <w:spacing w:before="200" w:after="80"/>
      </w:pPr>
      <w:r>
        <w:rPr>
          <w:rFonts w:ascii="Bookman Old Style" w:hAnsi="Bookman Old Style"/>
          <w:b/>
          <w:i/>
          <w:color w:val="000000"/>
          <w:sz w:val="24"/>
        </w:rPr>
        <w:t>Enterprise System Integration</w:t>
      </w:r>
    </w:p>
    <w:p>
      <w:pPr>
        <w:spacing w:line="360" w:lineRule="auto" w:after="120"/>
      </w:pPr>
      <w:r>
        <w:t xml:space="preserve">For enterprise organizations processing thousands of technical applications monthly, CodeAudit AI can be integrated directly into existing Human Resource Information Systems (HRIS) and Applicant Tracking Systems (ATS) through asynchronous REST API webhooks </w:t>
      </w:r>
      <w:r>
        <w:rPr>
          <w:color w:val="323296"/>
        </w:rPr>
        <w:t>[ref1, ref12]</w:t>
      </w:r>
      <w:r>
        <w:t xml:space="preserve">. When a candidate submits an application via platforms like Greenhouse, Lever, or Workday, an automated webhook trigger initiates the 4-phase audit pipeline in the background. Audit results—comprising verified skill badges, ChromaDB distance metrics, and source code citations—are rendered directly within the recruiter's candidate dashboard prior to scheduling technical interviews </w:t>
      </w:r>
      <w:r>
        <w:rPr>
          <w:color w:val="323296"/>
        </w:rPr>
        <w:t>[ref41, ref44]</w:t>
      </w:r>
      <w:r>
        <w:t>.</w:t>
      </w:r>
    </w:p>
    <w:p>
      <w:pPr>
        <w:keepNext/>
        <w:spacing w:before="200" w:after="80"/>
      </w:pPr>
      <w:r>
        <w:rPr>
          <w:rFonts w:ascii="Bookman Old Style" w:hAnsi="Bookman Old Style"/>
          <w:b/>
          <w:i/>
          <w:color w:val="000000"/>
          <w:sz w:val="24"/>
        </w:rPr>
        <w:t>Continuous Talent Telemetry</w:t>
      </w:r>
    </w:p>
    <w:p>
      <w:pPr>
        <w:spacing w:line="360" w:lineRule="auto" w:after="120"/>
      </w:pPr>
      <w:r>
        <w:t xml:space="preserve">Future enterprise deployments can extend CodeAudit AI to provide continuous talent telemetry across candidate career trajectories </w:t>
      </w:r>
      <w:r>
        <w:rPr>
          <w:color w:val="323296"/>
        </w:rPr>
        <w:t>[ref15, ref24]</w:t>
      </w:r>
      <w:r>
        <w:t xml:space="preserve">. By periodically indexing updated public GitHub repositories, technical recruiters can track candidate skill acquisition, framework adoption, and open-source contribution patterns over time. This continuous evaluation model replaces static point-in-time resume screening with dynamic, empirical talent analytics, ensuring that organizational hiring pipelines remain aligned with rapidly evolving software engineering ecosystems </w:t>
      </w:r>
      <w:r>
        <w:rPr>
          <w:color w:val="323296"/>
        </w:rPr>
        <w:t>[ref6, ref25, ref36]</w:t>
      </w:r>
      <w:r>
        <w:t>.</w:t>
      </w:r>
    </w:p>
    <w:p>
      <w:pPr>
        <w:keepNext/>
        <w:spacing w:before="280" w:after="120"/>
      </w:pPr>
      <w:r>
        <w:rPr>
          <w:rFonts w:ascii="Bookman Old Style" w:hAnsi="Bookman Old Style"/>
          <w:b/>
          <w:color w:val="000000"/>
          <w:sz w:val="28"/>
        </w:rPr>
        <w:t>Concluding Remarks</w:t>
      </w:r>
    </w:p>
    <w:p>
      <w:pPr>
        <w:spacing w:line="360" w:lineRule="auto" w:after="120"/>
      </w:pPr>
      <w:r>
        <w:t>CodeAudit AI demonstrates that combining multi-agent LLM orchestration with Retrieval-Augmented Generation provides a highly effective solution to the long-standing problem of technical resume fraud. By grounding skill evaluation in verifiable source code evidence, the system achieves perfect precision and specificity, delivering a reliable, fair, and scalable tool for modern technical hiring.</w:t>
      </w:r>
    </w:p>
    <w:p>
      <w:r>
        <w:br w:type="page"/>
      </w:r>
    </w:p>
    <w:p>
      <w:pPr>
        <w:keepNext/>
        <w:spacing w:before="360" w:after="160"/>
      </w:pPr>
      <w:r>
        <w:rPr>
          <w:rFonts w:ascii="Bookman Old Style" w:hAnsi="Bookman Old Style"/>
          <w:b/>
          <w:color w:val="000000"/>
          <w:sz w:val="32"/>
        </w:rPr>
        <w:t>REFERENCES</w:t>
      </w:r>
    </w:p>
    <w:p>
      <w:pPr>
        <w:spacing w:after="80"/>
        <w:ind w:left="720" w:hanging="720"/>
      </w:pPr>
      <w:r>
        <w:rPr>
          <w:b/>
        </w:rPr>
        <w:t xml:space="preserve">[ref1] </w:t>
      </w:r>
      <w:r>
        <w:t>R. K. Sinha, M. A. Khan, and S. Gupta, `Resume screening using machine learning: A systematic review,''</w:t>
      </w:r>
    </w:p>
    <w:p>
      <w:pPr>
        <w:spacing w:after="80"/>
        <w:ind w:left="720" w:hanging="720"/>
      </w:pPr>
      <w:r>
        <w:rPr>
          <w:b/>
        </w:rPr>
        <w:t xml:space="preserve">[ref2] </w:t>
      </w:r>
      <w:r>
        <w:t>D. F. Mujtaba and N. R. Mahapatra, `Ethical considerations in AI-based recruitment: A systematic literature review,''</w:t>
      </w:r>
    </w:p>
    <w:p>
      <w:pPr>
        <w:spacing w:after="80"/>
        <w:ind w:left="720" w:hanging="720"/>
      </w:pPr>
      <w:r>
        <w:rPr>
          <w:b/>
        </w:rPr>
        <w:t xml:space="preserve">[ref3] </w:t>
      </w:r>
      <w:r>
        <w:t>E. Bogen and A. Rieke, `Help wanted: An examination of hiring algorithms, equity, and bias,''</w:t>
      </w:r>
    </w:p>
    <w:p>
      <w:pPr>
        <w:spacing w:after="80"/>
        <w:ind w:left="720" w:hanging="720"/>
      </w:pPr>
      <w:r>
        <w:rPr>
          <w:b/>
        </w:rPr>
        <w:t xml:space="preserve">[ref4] </w:t>
      </w:r>
      <w:r>
        <w:t>M. Jayaratne and B. Jayatilleke, `A systematic review of artificial intelligence applications in recruitment and selection,''</w:t>
      </w:r>
    </w:p>
    <w:p>
      <w:pPr>
        <w:spacing w:after="80"/>
        <w:ind w:left="720" w:hanging="720"/>
      </w:pPr>
      <w:r>
        <w:rPr>
          <w:b/>
        </w:rPr>
        <w:t xml:space="preserve">[ref5] </w:t>
      </w:r>
      <w:r>
        <w:t>T. Brown, B. Mann, N. Ryder, M. Subbiah, J. D. Kaplan,</w:t>
      </w:r>
    </w:p>
    <w:p>
      <w:pPr>
        <w:spacing w:after="80"/>
        <w:ind w:left="720" w:hanging="720"/>
      </w:pPr>
      <w:r>
        <w:rPr>
          <w:b/>
        </w:rPr>
        <w:t xml:space="preserve">[ref6] </w:t>
      </w:r>
      <w:r>
        <w:t>OpenAI, `GPT-4 technical report,''</w:t>
      </w:r>
    </w:p>
    <w:p>
      <w:pPr>
        <w:spacing w:after="80"/>
        <w:ind w:left="720" w:hanging="720"/>
      </w:pPr>
      <w:r>
        <w:rPr>
          <w:b/>
        </w:rPr>
        <w:t xml:space="preserve">[ref7] </w:t>
      </w:r>
      <w:r>
        <w:t>J. S. Park, J. C. O'Brien, C. J. Cai, M. R. Morris, P. Liang, and M. S. Bernstein, `Generative agents: Interactive simulacra of human behavior,'' in</w:t>
      </w:r>
    </w:p>
    <w:p>
      <w:pPr>
        <w:spacing w:after="80"/>
        <w:ind w:left="720" w:hanging="720"/>
      </w:pPr>
      <w:r>
        <w:rPr>
          <w:b/>
        </w:rPr>
        <w:t xml:space="preserve">[ref8] </w:t>
      </w:r>
      <w:r>
        <w:t>D. Guo, S. Lu, N. Duan, Y. Wang, M. Zhou, and J. Yin, `UniXcoder: Unified cross-modal pre-training for code representation,'' in</w:t>
      </w:r>
    </w:p>
    <w:p>
      <w:pPr>
        <w:spacing w:after="80"/>
        <w:ind w:left="720" w:hanging="720"/>
      </w:pPr>
      <w:r>
        <w:rPr>
          <w:b/>
        </w:rPr>
        <w:t xml:space="preserve">[ref9] </w:t>
      </w:r>
      <w:r>
        <w:t>A. Deshpande, S. Rajpurkar, and M. K. Verma, `NLP-based resume parsing and skill extraction: A comprehensive survey,''</w:t>
      </w:r>
    </w:p>
    <w:p>
      <w:pPr>
        <w:spacing w:after="80"/>
        <w:ind w:left="720" w:hanging="720"/>
      </w:pPr>
      <w:r>
        <w:rPr>
          <w:b/>
        </w:rPr>
        <w:t xml:space="preserve">[ref10] </w:t>
      </w:r>
      <w:r>
        <w:t>A. J. Sanchez-Medina and J. A. Corbalan, `Resume scoring with transformer-based models: A comparative analysis,''</w:t>
      </w:r>
    </w:p>
    <w:p>
      <w:pPr>
        <w:spacing w:after="80"/>
        <w:ind w:left="720" w:hanging="720"/>
      </w:pPr>
      <w:r>
        <w:rPr>
          <w:b/>
        </w:rPr>
        <w:t xml:space="preserve">[ref11] </w:t>
      </w:r>
      <w:r>
        <w:t>A. Asai, Z. Wu, Y. Wang, A. Sil, and H. Hajishirzi, `Self-RAG: Learning to retrieve, generate, and critique through self-reflection,'' in</w:t>
      </w:r>
    </w:p>
    <w:p>
      <w:pPr>
        <w:spacing w:after="80"/>
        <w:ind w:left="720" w:hanging="720"/>
      </w:pPr>
      <w:r>
        <w:rPr>
          <w:b/>
        </w:rPr>
        <w:t xml:space="preserve">[ref12] </w:t>
      </w:r>
      <w:r>
        <w:t>GitHub Inc., `GitHub REST API v3 reference manual,'' San Francisco, CA, USA, Tech. Rep. API-v3-2023, 2023. [Online]. Available: https://docs.github.com/en/rest</w:t>
      </w:r>
    </w:p>
    <w:p>
      <w:pPr>
        <w:spacing w:after="80"/>
        <w:ind w:left="720" w:hanging="720"/>
      </w:pPr>
      <w:r>
        <w:rPr>
          <w:b/>
        </w:rPr>
        <w:t xml:space="preserve">[ref13] </w:t>
      </w:r>
      <w:r>
        <w:t>G. Izacard and E. Grave, `Leveraging passage retrieval with generative models for open domain question answering,'' in</w:t>
      </w:r>
    </w:p>
    <w:p>
      <w:pPr>
        <w:spacing w:after="80"/>
        <w:ind w:left="720" w:hanging="720"/>
      </w:pPr>
      <w:r>
        <w:rPr>
          <w:b/>
        </w:rPr>
        <w:t xml:space="preserve">[ref14] </w:t>
      </w:r>
      <w:r>
        <w:t>Team Gemini, Google, `Gemini: A family of highly capable multimodal models,''</w:t>
      </w:r>
    </w:p>
    <w:p>
      <w:pPr>
        <w:spacing w:after="80"/>
        <w:ind w:left="720" w:hanging="720"/>
      </w:pPr>
      <w:r>
        <w:rPr>
          <w:b/>
        </w:rPr>
        <w:t xml:space="preserve">[ref15] </w:t>
      </w:r>
      <w:r>
        <w:t>E. Kalliamvakou, D. Damian, K. Blincoe, L. Singer, and D. M. German, `Open source-style collaborative development practices in commercial projects using GitHub,''</w:t>
      </w:r>
    </w:p>
    <w:p>
      <w:pPr>
        <w:spacing w:after="80"/>
        <w:ind w:left="720" w:hanging="720"/>
      </w:pPr>
      <w:r>
        <w:rPr>
          <w:b/>
        </w:rPr>
        <w:t xml:space="preserve">[ref16] </w:t>
      </w:r>
      <w:r>
        <w:t>H. Borges, A. Hora, and M. T. Valente, `What makes a GitHub project popular? A large-scale empirical study,''</w:t>
      </w:r>
    </w:p>
    <w:p>
      <w:pPr>
        <w:spacing w:after="80"/>
        <w:ind w:left="720" w:hanging="720"/>
      </w:pPr>
      <w:r>
        <w:rPr>
          <w:b/>
        </w:rPr>
        <w:t xml:space="preserve">[ref17] </w:t>
      </w:r>
      <w:r>
        <w:t>B. Roziere, J. Gehring, F. Gloeckle, S. Sootla, I. Gat,</w:t>
      </w:r>
    </w:p>
    <w:p>
      <w:pPr>
        <w:spacing w:after="80"/>
        <w:ind w:left="720" w:hanging="720"/>
      </w:pPr>
      <w:r>
        <w:rPr>
          <w:b/>
        </w:rPr>
        <w:t xml:space="preserve">[ref18] </w:t>
      </w:r>
      <w:r>
        <w:t>A. Anthropic, ``The Claude model card and evaluations,''</w:t>
      </w:r>
    </w:p>
    <w:p>
      <w:pPr>
        <w:spacing w:after="80"/>
        <w:ind w:left="720" w:hanging="720"/>
      </w:pPr>
      <w:r>
        <w:rPr>
          <w:b/>
        </w:rPr>
        <w:t xml:space="preserve">[ref19] </w:t>
      </w:r>
      <w:r>
        <w:t>L. Wang, C. Ma, X. Feng, Z. Zhang, H. Yang,</w:t>
      </w:r>
    </w:p>
    <w:p>
      <w:pPr>
        <w:spacing w:after="80"/>
        <w:ind w:left="720" w:hanging="720"/>
      </w:pPr>
      <w:r>
        <w:rPr>
          <w:b/>
        </w:rPr>
        <w:t xml:space="preserve">[ref20] </w:t>
      </w:r>
      <w:r>
        <w:t>S. Lo, C. Mao, and T. Nguyen, `Multi-agent retrieval-augmented generation for AI-driven hiring: A dynamic scoring framework,''</w:t>
      </w:r>
    </w:p>
    <w:p>
      <w:pPr>
        <w:spacing w:after="80"/>
        <w:ind w:left="720" w:hanging="720"/>
      </w:pPr>
      <w:r>
        <w:rPr>
          <w:b/>
        </w:rPr>
        <w:t xml:space="preserve">[ref21] </w:t>
      </w:r>
      <w:r>
        <w:t>H. Su, W. Shi, J. Kasai, Y. Wang, Y. Hu,</w:t>
      </w:r>
    </w:p>
    <w:p>
      <w:pPr>
        <w:spacing w:after="80"/>
        <w:ind w:left="720" w:hanging="720"/>
      </w:pPr>
      <w:r>
        <w:rPr>
          <w:b/>
        </w:rPr>
        <w:t xml:space="preserve">[ref22] </w:t>
      </w:r>
      <w:r>
        <w:t>Q. Wu, G. Bansal, J. Zhang, Y. Wu, B. Li,</w:t>
      </w:r>
    </w:p>
    <w:p>
      <w:pPr>
        <w:spacing w:after="80"/>
        <w:ind w:left="720" w:hanging="720"/>
      </w:pPr>
      <w:r>
        <w:rPr>
          <w:b/>
        </w:rPr>
        <w:t xml:space="preserve">[ref23] </w:t>
      </w:r>
      <w:r>
        <w:t>A. Q. Jiang, A. Sablayrolles, A. Mensch, C. Bamford, D. S. Chaplot,</w:t>
      </w:r>
    </w:p>
    <w:p>
      <w:pPr>
        <w:spacing w:after="80"/>
        <w:ind w:left="720" w:hanging="720"/>
      </w:pPr>
      <w:r>
        <w:rPr>
          <w:b/>
        </w:rPr>
        <w:t xml:space="preserve">[ref24] </w:t>
      </w:r>
      <w:r>
        <w:t>L. Wang, N. Yang, X. Huang, B. Jiao, L. Yang,</w:t>
      </w:r>
    </w:p>
    <w:p>
      <w:pPr>
        <w:spacing w:after="80"/>
        <w:ind w:left="720" w:hanging="720"/>
      </w:pPr>
      <w:r>
        <w:rPr>
          <w:b/>
        </w:rPr>
        <w:t xml:space="preserve">[ref25] </w:t>
      </w:r>
      <w:r>
        <w:t>J. Wei, X. Wang, D. Schuurmans, M. Bosma, B. Ichter,</w:t>
      </w:r>
    </w:p>
    <w:p>
      <w:pPr>
        <w:spacing w:after="80"/>
        <w:ind w:left="720" w:hanging="720"/>
      </w:pPr>
      <w:r>
        <w:rPr>
          <w:b/>
        </w:rPr>
        <w:t xml:space="preserve">[ref26] </w:t>
      </w:r>
      <w:r>
        <w:t>M. Chen, J. Tworek, H. Jun, Q. Yuan, H. P. de Oliveira Pinto,</w:t>
      </w:r>
    </w:p>
    <w:p>
      <w:pPr>
        <w:spacing w:after="80"/>
        <w:ind w:left="720" w:hanging="720"/>
      </w:pPr>
      <w:r>
        <w:rPr>
          <w:b/>
        </w:rPr>
        <w:t xml:space="preserve">[ref27] </w:t>
      </w:r>
      <w:r>
        <w:t>H. Chase, `LangChain: Building applications with LLMs through composability,''</w:t>
      </w:r>
    </w:p>
    <w:p>
      <w:pPr>
        <w:spacing w:after="80"/>
        <w:ind w:left="720" w:hanging="720"/>
      </w:pPr>
      <w:r>
        <w:rPr>
          <w:b/>
        </w:rPr>
        <w:t xml:space="preserve">[ref28] </w:t>
      </w:r>
      <w:r>
        <w:t>Y. Wang, W. Wang, S. Joty, and S. C. H. Hoi, `CodeT5+: Open code large language models for code understanding and generation,'' in</w:t>
      </w:r>
    </w:p>
    <w:p>
      <w:pPr>
        <w:spacing w:after="80"/>
        <w:ind w:left="720" w:hanging="720"/>
      </w:pPr>
      <w:r>
        <w:rPr>
          <w:b/>
        </w:rPr>
        <w:t xml:space="preserve">[ref29] </w:t>
      </w:r>
      <w:r>
        <w:t>O. Ram, Y. Levine, I. Dalmedigos, D. Muhlgay, A. Shashua, et al., ``In-context retrieval-augmented language models,''</w:t>
      </w:r>
    </w:p>
    <w:p>
      <w:pPr>
        <w:spacing w:after="80"/>
        <w:ind w:left="720" w:hanging="720"/>
      </w:pPr>
      <w:r>
        <w:rPr>
          <w:b/>
        </w:rPr>
        <w:t xml:space="preserve">[ref30] </w:t>
      </w:r>
      <w:r>
        <w:t>R. Lewis, P. Liu, Y. Peng, M. Ghazvininejad, M. Gururangan,</w:t>
      </w:r>
    </w:p>
    <w:p>
      <w:pPr>
        <w:spacing w:after="80"/>
        <w:ind w:left="720" w:hanging="720"/>
      </w:pPr>
      <w:r>
        <w:rPr>
          <w:b/>
        </w:rPr>
        <w:t xml:space="preserve">[ref31] </w:t>
      </w:r>
      <w:r>
        <w:t>Y. Gao, Y. Xiong, X. Gao, K. Jia, J. Pan,</w:t>
      </w:r>
    </w:p>
    <w:p>
      <w:pPr>
        <w:spacing w:after="80"/>
        <w:ind w:left="720" w:hanging="720"/>
      </w:pPr>
      <w:r>
        <w:rPr>
          <w:b/>
        </w:rPr>
        <w:t xml:space="preserve">[ref32] </w:t>
      </w:r>
      <w:r>
        <w:t>X. Li, Y. Zhang, and Y. Zhao, `AnglE-optimized text embeddings,'' in</w:t>
      </w:r>
    </w:p>
    <w:p>
      <w:pPr>
        <w:spacing w:after="80"/>
        <w:ind w:left="720" w:hanging="720"/>
      </w:pPr>
      <w:r>
        <w:rPr>
          <w:b/>
        </w:rPr>
        <w:t xml:space="preserve">[ref33] </w:t>
      </w:r>
      <w:r>
        <w:t>ChromaDB Inc., `ChromaDB: The AI-native open-source embedding database,'' San Francisco, CA, USA, Tech. Rep. CDB-2023-04, 2023. [Online]. Available: https://www.trychroma.com</w:t>
      </w:r>
    </w:p>
    <w:p>
      <w:pPr>
        <w:spacing w:after="80"/>
        <w:ind w:left="720" w:hanging="720"/>
      </w:pPr>
      <w:r>
        <w:rPr>
          <w:b/>
        </w:rPr>
        <w:t xml:space="preserve">[ref34] </w:t>
      </w:r>
      <w:r>
        <w:t>X. Wang, J. Wei, D. Schuurmans, Q. Le, E. Chi,</w:t>
      </w:r>
    </w:p>
    <w:p>
      <w:pPr>
        <w:spacing w:after="80"/>
        <w:ind w:left="720" w:hanging="720"/>
      </w:pPr>
      <w:r>
        <w:rPr>
          <w:b/>
        </w:rPr>
        <w:t xml:space="preserve">[ref35] </w:t>
      </w:r>
      <w:r>
        <w:t>N. Reimers and I. Gurevych, `Sentence-BERT: Sentence embeddings using Siamese BERT-networks,'' in</w:t>
      </w:r>
    </w:p>
    <w:p>
      <w:pPr>
        <w:spacing w:after="80"/>
        <w:ind w:left="720" w:hanging="720"/>
      </w:pPr>
      <w:r>
        <w:rPr>
          <w:b/>
        </w:rPr>
        <w:t xml:space="preserve">[ref36] </w:t>
      </w:r>
      <w:r>
        <w:t>M. Raghavan, S. Barocas, J. Kleinberg, and K. Levy, `Mitigating bias in algorithmic hiring: Evaluating claims and practices,'' in</w:t>
      </w:r>
    </w:p>
    <w:p>
      <w:pPr>
        <w:spacing w:after="80"/>
        <w:ind w:left="720" w:hanging="720"/>
      </w:pPr>
      <w:r>
        <w:rPr>
          <w:b/>
        </w:rPr>
        <w:t xml:space="preserve">[ref37] </w:t>
      </w:r>
      <w:r>
        <w:t>Y. Talebirad and A. Nadiri, `Multi-agent collaboration: Harnessing the power of intelligent LLM agents,''</w:t>
      </w:r>
    </w:p>
    <w:p>
      <w:pPr>
        <w:spacing w:after="80"/>
        <w:ind w:left="720" w:hanging="720"/>
      </w:pPr>
      <w:r>
        <w:rPr>
          <w:b/>
        </w:rPr>
        <w:t xml:space="preserve">[ref38] </w:t>
      </w:r>
      <w:r>
        <w:t>T. Kojima, S. S. Gu, M. Reid, Y. Matsuo, and Y. Iwasawa, `Large language models are zero-shot reasoners,'' in</w:t>
      </w:r>
    </w:p>
    <w:p>
      <w:pPr>
        <w:spacing w:after="80"/>
        <w:ind w:left="720" w:hanging="720"/>
      </w:pPr>
      <w:r>
        <w:rPr>
          <w:b/>
        </w:rPr>
        <w:t xml:space="preserve">[ref39] </w:t>
      </w:r>
      <w:r>
        <w:t>S. Koivunen, T. Olsson, E. Kaaritaka, and A. Villi, ``AI-mediated communication in hiring: Understanding applicant and recruiter perspectives,''</w:t>
      </w:r>
    </w:p>
    <w:p>
      <w:pPr>
        <w:spacing w:after="80"/>
        <w:ind w:left="720" w:hanging="720"/>
      </w:pPr>
      <w:r>
        <w:rPr>
          <w:b/>
        </w:rPr>
        <w:t xml:space="preserve">[ref40] </w:t>
      </w:r>
      <w:r>
        <w:t>S. Bubeck, V. Chandrasekaran, R. Eldan, J. Gehrke, E. Horvitz, et al., ``Sparks of artificial general intelligence: Early experiments with GPT-4,''</w:t>
      </w:r>
    </w:p>
    <w:p>
      <w:pPr>
        <w:spacing w:after="80"/>
        <w:ind w:left="720" w:hanging="720"/>
      </w:pPr>
      <w:r>
        <w:rPr>
          <w:b/>
        </w:rPr>
        <w:t xml:space="preserve">[ref41] </w:t>
      </w:r>
      <w:r>
        <w:t>S. Hong, M. Zhuge, J. Chen, X. Zheng, Y. Cheng,</w:t>
      </w:r>
    </w:p>
    <w:p>
      <w:pPr>
        <w:spacing w:after="80"/>
        <w:ind w:left="720" w:hanging="720"/>
      </w:pPr>
      <w:r>
        <w:rPr>
          <w:b/>
        </w:rPr>
        <w:t xml:space="preserve">[ref42] </w:t>
      </w:r>
      <w:r>
        <w:t>C. Fernando, D. Banarse, H. Michalewski, S. Osindero, and T. Rocktaschel, ``Promptbreeder: Self-referential self-improvement via prompt evolution,'' in</w:t>
      </w:r>
    </w:p>
    <w:p>
      <w:pPr>
        <w:spacing w:after="80"/>
        <w:ind w:left="720" w:hanging="720"/>
      </w:pPr>
      <w:r>
        <w:rPr>
          <w:b/>
        </w:rPr>
        <w:t xml:space="preserve">[ref43] </w:t>
      </w:r>
      <w:r>
        <w:t>B. Vasilescu, V. Filkov, and A. Serebrenik, `Perceptions of diversity on GitHub: A user survey,'' in</w:t>
      </w:r>
    </w:p>
    <w:p>
      <w:pPr>
        <w:spacing w:after="80"/>
        <w:ind w:left="720" w:hanging="720"/>
      </w:pPr>
      <w:r>
        <w:rPr>
          <w:b/>
        </w:rPr>
        <w:t xml:space="preserve">[ref44] </w:t>
      </w:r>
      <w:r>
        <w:t>A. Neelakantan, T. Xu, R. Puri, A. Radford, J. M. Han, et al., ``Text and code embeddings by contrastive pre-training,''</w:t>
      </w:r>
    </w:p>
    <w:p>
      <w:pPr>
        <w:spacing w:after="80"/>
        <w:ind w:left="720" w:hanging="720"/>
      </w:pPr>
      <w:r>
        <w:rPr>
          <w:b/>
        </w:rPr>
        <w:t xml:space="preserve">[ref45] </w:t>
      </w:r>
      <w:r>
        <w:t>E. Faliagka, L. Iliadis, I. Karydis, M. Rigou, S. Sioutas,</w:t>
      </w:r>
    </w:p>
    <w:p>
      <w:pPr>
        <w:spacing w:after="80"/>
        <w:ind w:left="720" w:hanging="720"/>
      </w:pPr>
      <w:r>
        <w:rPr>
          <w:b/>
        </w:rPr>
        <w:t xml:space="preserve">[ref46] </w:t>
      </w:r>
      <w:r>
        <w:t>S. Borgeaud, A. Mensch, J. Hoffmann, T. Cai, E. Rutherford,</w:t>
      </w:r>
    </w:p>
    <w:p>
      <w:pPr>
        <w:spacing w:after="80"/>
        <w:ind w:left="720" w:hanging="720"/>
      </w:pPr>
      <w:r>
        <w:rPr>
          <w:b/>
        </w:rPr>
        <w:t xml:space="preserve">[ref47] </w:t>
      </w:r>
      <w:r>
        <w:t>A. Chowdhery, S. Narang, J. Devlin, M. Bosma, G. Mishra,</w:t>
      </w:r>
    </w:p>
    <w:p>
      <w:pPr>
        <w:spacing w:after="80"/>
        <w:ind w:left="720" w:hanging="720"/>
      </w:pPr>
      <w:r>
        <w:rPr>
          <w:b/>
        </w:rPr>
        <w:t xml:space="preserve">[ref48] </w:t>
      </w:r>
      <w:r>
        <w:t>Z. Ahmed and P. Devanbu, `Few-shot training LLMs for project-specific code-summarization,'' in</w:t>
      </w:r>
    </w:p>
    <w:p>
      <w:pPr>
        <w:spacing w:after="80"/>
        <w:ind w:left="720" w:hanging="720"/>
      </w:pPr>
      <w:r>
        <w:rPr>
          <w:b/>
        </w:rPr>
        <w:t xml:space="preserve">[ref49] </w:t>
      </w:r>
      <w:r>
        <w:t>PyMuPDF Development Team, `PyMuPDF documentation: High-performance PDF parsing binding for MuPDF,'' Artifex Software Inc., San Francisco, CA, USA, Tech. Rep. PyMuPDF-1.23, 2023. [Online]. Available: https://pymupdf.readthedocs.io</w:t>
      </w:r>
    </w:p>
    <w:p>
      <w:pPr>
        <w:spacing w:after="80"/>
        <w:ind w:left="720" w:hanging="720"/>
      </w:pPr>
      <w:r>
        <w:rPr>
          <w:b/>
        </w:rPr>
        <w:t xml:space="preserve">[ref50] </w:t>
      </w:r>
      <w:r>
        <w:t>A. Alamri, M. Alshehri, and R. Alghamdi, `Automated resume screening and ranking using natural language processing and machine learning techniques,''</w:t>
      </w:r>
    </w:p>
    <w:p>
      <w:pPr>
        <w:spacing w:after="80"/>
        <w:ind w:left="720" w:hanging="720"/>
      </w:pPr>
      <w:r>
        <w:rPr>
          <w:b/>
        </w:rPr>
        <w:t xml:space="preserve">[ref51] </w:t>
      </w:r>
      <w:r>
        <w:t>Z. Jiang, F. Xu, L. Gao, Z. Sun, Q. Liu,</w:t>
      </w:r>
    </w:p>
    <w:p>
      <w:pPr>
        <w:spacing w:after="80"/>
        <w:ind w:left="720" w:hanging="720"/>
      </w:pPr>
      <w:r>
        <w:rPr>
          <w:b/>
        </w:rPr>
        <w:t xml:space="preserve">[ref52] </w:t>
      </w:r>
      <w:r>
        <w:t>J. Muennighoff, N. Tazi, L. Magne, and N. Reimers, `MTEB: Massive text embedding benchmark,'' in</w:t>
      </w:r>
    </w:p>
    <w:p>
      <w:pPr>
        <w:spacing w:after="80"/>
        <w:ind w:left="720" w:hanging="720"/>
      </w:pPr>
      <w:r>
        <w:rPr>
          <w:b/>
        </w:rPr>
        <w:t xml:space="preserve">[ref53] </w:t>
      </w:r>
      <w:r>
        <w:t>A. Dubey, A. Jauhri, A. Pandey, A. Kadian, A. Al-Dahle,</w:t>
      </w:r>
    </w:p>
    <w:p>
      <w:pPr>
        <w:spacing w:after="80"/>
        <w:ind w:left="720" w:hanging="720"/>
      </w:pPr>
      <w:r>
        <w:rPr>
          <w:b/>
        </w:rPr>
        <w:t xml:space="preserve">[ref54] </w:t>
      </w:r>
      <w:r>
        <w:t>C. Qian, X. Cong, C. Yang, W. Chen, Y. Su,</w:t>
      </w:r>
    </w:p>
    <w:p>
      <w:pPr>
        <w:spacing w:after="80"/>
        <w:ind w:left="720" w:hanging="720"/>
      </w:pPr>
      <w:r>
        <w:rPr>
          <w:b/>
        </w:rPr>
        <w:t xml:space="preserve">[ref55] </w:t>
      </w:r>
      <w:r>
        <w:t>S. Dey, A. Hora, and A. Mockus, `Representation and perception of contributions in open-source software projects,''</w:t>
      </w:r>
    </w:p>
    <w:p>
      <w:pPr>
        <w:spacing w:after="80"/>
        <w:ind w:left="720" w:hanging="720"/>
      </w:pPr>
      <w:r>
        <w:rPr>
          <w:b/>
        </w:rPr>
        <w:t xml:space="preserve">[ref56] </w:t>
      </w:r>
      <w:r>
        <w:t>S. Mundlak, B. Vasilescu, and A. Mockus, `Mining software repositories: Achievements, challenges, and future directions,''</w:t>
      </w:r>
    </w:p>
    <w:p>
      <w:pPr>
        <w:spacing w:after="80"/>
        <w:ind w:left="720" w:hanging="720"/>
      </w:pPr>
      <w:r>
        <w:rPr>
          <w:b/>
        </w:rPr>
        <w:t xml:space="preserve">[ref57] </w:t>
      </w:r>
      <w:r>
        <w:t>European Parliament and Council of the European Union, `Regulation (EU) 2024/1689 laying down harmonised rules on artificial intelligence (Artificial Intelligence Act),''</w:t>
      </w:r>
    </w:p>
    <w:p>
      <w:pPr>
        <w:spacing w:after="80"/>
        <w:ind w:left="720" w:hanging="720"/>
      </w:pPr>
      <w:r>
        <w:rPr>
          <w:b/>
        </w:rPr>
        <w:t xml:space="preserve">[ref58] </w:t>
      </w:r>
      <w:r>
        <w:t>Streamlit, ``Streamlit: A faster way to build and share data apps,'' 2023. [Online]. Available: https://streamlit.io</w:t>
      </w:r>
    </w:p>
    <w:p>
      <w:pPr>
        <w:spacing w:after="80"/>
        <w:ind w:left="720" w:hanging="720"/>
      </w:pPr>
      <w:r>
        <w:rPr>
          <w:b/>
        </w:rPr>
        <w:t xml:space="preserve">[ref59] </w:t>
      </w:r>
      <w:r>
        <w:t>C. Raffel, N. Shazeer, A. Roberts, K. Lee, S. Narang, et al., ``Exploring the limits of transfer learning with a unified text-to-text transformer,''</w:t>
      </w:r>
    </w:p>
    <w:p>
      <w:pPr>
        <w:spacing w:after="80"/>
        <w:ind w:left="720" w:hanging="720"/>
      </w:pPr>
      <w:r>
        <w:rPr>
          <w:b/>
        </w:rPr>
        <w:t xml:space="preserve">[ref60] </w:t>
      </w:r>
      <w:r>
        <w:t>Y. Shen, K. Song, X. Tan, D. Li, W. Lu, and Y. Zhuang, ``HuggingGPT: Solving AI tasks with ChatGPT and its friends in Hugging Face,'' in</w:t>
      </w:r>
    </w:p>
    <w:p>
      <w:pPr>
        <w:spacing w:after="80"/>
        <w:ind w:left="720" w:hanging="720"/>
      </w:pPr>
      <w:r>
        <w:rPr>
          <w:b/>
        </w:rPr>
        <w:t xml:space="preserve">[ref61] </w:t>
      </w:r>
      <w:r>
        <w:t>J. Devlin, M. W. Chang, K. Lee, and K. Toutanova, `BERT: Pre-training of deep bidirectional transformers for language understanding,'' in</w:t>
      </w:r>
    </w:p>
    <w:p>
      <w:pPr>
        <w:spacing w:after="80"/>
        <w:ind w:left="720" w:hanging="720"/>
      </w:pPr>
      <w:r>
        <w:rPr>
          <w:b/>
        </w:rPr>
        <w:t xml:space="preserve">[ref62] </w:t>
      </w:r>
      <w:r>
        <w:t>Pinecone Systems Inc., `Vector database: Concepts, index structures, and architectural principles,'' New York, NY, USA, Tech. Rep. PS-VD-2023, 2023. [Online]. Available: https://www.pinecone.io</w:t>
      </w:r>
    </w:p>
    <w:p>
      <w:pPr>
        <w:spacing w:after="80"/>
        <w:ind w:left="720" w:hanging="720"/>
      </w:pPr>
      <w:r>
        <w:rPr>
          <w:b/>
        </w:rPr>
        <w:t xml:space="preserve">[ref63] </w:t>
      </w:r>
      <w:r>
        <w:t>Streamlit, ``Streamlit: A faster way to build and share data apps,'' 2023. [Online]. Available: https://streamlit.io</w:t>
      </w:r>
    </w:p>
    <w:p>
      <w:pPr>
        <w:spacing w:after="80"/>
        <w:ind w:left="720" w:hanging="720"/>
      </w:pPr>
      <w:r>
        <w:rPr>
          <w:b/>
        </w:rPr>
        <w:t xml:space="preserve">[ref64] </w:t>
      </w:r>
      <w:r>
        <w:t>C. Fernando, D. Banarse, H. Michalewski, S. Osindero, and T. Rocktaschel, ``Promptbreeder: Self-referential self-improvement via prompt evolution,'' in</w:t>
      </w:r>
    </w:p>
    <w:p>
      <w:pPr>
        <w:spacing w:after="80"/>
        <w:ind w:left="720" w:hanging="720"/>
      </w:pPr>
      <w:r>
        <w:rPr>
          <w:b/>
        </w:rPr>
        <w:t xml:space="preserve">[ref65] </w:t>
      </w:r>
      <w:r>
        <w:t>S. Koivunen, T. Olsson, E. Kaaritaka, and A. Villi, ``AI-mediated communication in hiring: Understanding applicant and recruiter perspectives,''</w:t>
      </w:r>
    </w:p>
    <w:p>
      <w:pPr>
        <w:spacing w:after="80"/>
        <w:ind w:left="720" w:hanging="720"/>
      </w:pPr>
      <w:r>
        <w:rPr>
          <w:b/>
        </w:rPr>
        <w:t xml:space="preserve">[ref66] </w:t>
      </w:r>
      <w:r>
        <w:t>A. Neelakantan, T. Xu, R. Puri, A. Radford, J. M. Han, et al., ``Text and code embeddings by contrastive pre-training,''</w:t>
      </w:r>
    </w:p>
    <w:p>
      <w:pPr>
        <w:spacing w:after="80"/>
        <w:ind w:left="720" w:hanging="720"/>
      </w:pPr>
      <w:r>
        <w:rPr>
          <w:b/>
        </w:rPr>
        <w:t xml:space="preserve">[ref67] </w:t>
      </w:r>
      <w:r>
        <w:t>C. Raffel, N. Shazeer, A. Roberts, K. Lee, S. Narang, et al., ``Exploring the limits of transfer learning with a unified text-to-text transformer,''</w:t>
      </w:r>
    </w:p>
    <w:p>
      <w:pPr>
        <w:spacing w:after="80"/>
        <w:ind w:left="720" w:hanging="720"/>
      </w:pPr>
      <w:r>
        <w:rPr>
          <w:b/>
        </w:rPr>
        <w:t xml:space="preserve">[ref68] </w:t>
      </w:r>
      <w:r>
        <w:t>O. Ram, Y. Levine, I. Dalmedigos, D. Muhlgay, A. Shashua, et al., ``In-context retrieval-augmented language models,''</w:t>
      </w:r>
    </w:p>
    <w:p>
      <w:pPr>
        <w:spacing w:after="80"/>
        <w:ind w:left="720" w:hanging="720"/>
      </w:pPr>
      <w:r>
        <w:rPr>
          <w:b/>
        </w:rPr>
        <w:t xml:space="preserve">[ref69] </w:t>
      </w:r>
      <w:r>
        <w:t>Y. Shen, K. Song, X. Tan, D. Li, W. Lu, and Y. Zhuang, ``HuggingGPT: Solving AI tasks with ChatGPT and its friends in Hugging Face,'' in</w:t>
      </w:r>
    </w:p>
    <w:p>
      <w:pPr>
        <w:spacing w:after="80"/>
        <w:ind w:left="720" w:hanging="720"/>
      </w:pPr>
      <w:r>
        <w:rPr>
          <w:b/>
        </w:rPr>
        <w:t xml:space="preserve">[ref70] </w:t>
      </w:r>
      <w:r>
        <w:t>W. Shi, S. Min, M. Yasunaga, M. Seo, R. James, et al., ``REPLUG: Retrieval-augmented black-box language models,'' in</w:t>
      </w:r>
    </w:p>
    <w:p>
      <w:pPr>
        <w:spacing w:after="80"/>
        <w:ind w:left="720" w:hanging="720"/>
      </w:pPr>
      <w:r>
        <w:rPr>
          <w:b/>
        </w:rPr>
        <w:t xml:space="preserve">[ref71] </w:t>
      </w:r>
      <w:r>
        <w:t>P. Trivedi, N. Balasubramanian, and T. Khot, ``Interleaving retrieval with chain-of-thought reasoning for knowledge-intensive multi-step questions,'' in</w:t>
      </w:r>
    </w:p>
    <w:p>
      <w:pPr>
        <w:spacing w:after="80"/>
        <w:ind w:left="720" w:hanging="720"/>
      </w:pPr>
      <w:r>
        <w:rPr>
          <w:b/>
        </w:rPr>
        <w:t xml:space="preserve">[ref72] </w:t>
      </w:r>
      <w:r>
        <w:t>L. Zheng, W. Chiang, Y. Sheng, S. Zhuang, Z. Wu, et al., ``Judging LLM-as-a-Judge with MT-Bench and Chatbot Arena,'' in</w:t>
      </w:r>
    </w:p>
    <w:p>
      <w:pPr>
        <w:spacing w:after="80"/>
        <w:ind w:left="720" w:hanging="720"/>
      </w:pPr>
      <w:r>
        <w:rPr>
          <w:b/>
        </w:rPr>
        <w:t xml:space="preserve">[ref73] </w:t>
      </w:r>
      <w:r>
        <w:t>S. Zhou, F. F. Xu, H. Zhu, X. Zhou, R. Lo, et al., ``WebArena: A realistic web environment for building autonomous agents,'' in</w:t>
      </w:r>
    </w:p>
    <w:p>
      <w:pPr>
        <w:spacing w:after="80"/>
        <w:ind w:left="720" w:hanging="720"/>
      </w:pPr>
      <w:r>
        <w:rPr>
          <w:b/>
        </w:rPr>
        <w:t xml:space="preserve">[ref74] </w:t>
      </w:r>
      <w:r>
        <w:t>J. Zhao, M. Zhao, C. Lu, W. Wen, Y. Jiao, et al., ``Dense text retrieval based on pretrained language models: A survey,''</w:t>
      </w:r>
    </w:p>
    <w:p>
      <w:pPr>
        <w:spacing w:after="80"/>
        <w:ind w:left="720" w:hanging="720"/>
      </w:pPr>
      <w:r>
        <w:rPr>
          <w:b/>
        </w:rPr>
        <w:t xml:space="preserve">[ref75] </w:t>
      </w:r>
      <w:r>
        <w:t>LlamaIndex, ``LlamaIndex: Data framework for LLM applications,'' 2023. [Online]. Available: https://www.llamaindex.ai</w:t>
      </w:r>
    </w:p>
    <w:p>
      <w:pPr>
        <w:spacing w:after="80"/>
        <w:ind w:left="720" w:hanging="720"/>
      </w:pPr>
      <w:r>
        <w:rPr>
          <w:b/>
        </w:rPr>
        <w:t xml:space="preserve">[ref76] </w:t>
      </w:r>
      <w:r>
        <w:t>Y. Li, Z. Li, K. Zhang, R. Dan, S. Jiang, and Y. Zhang, ``ChatDoctor: A medical chat model fine-tuned on a large language model meta-AI (LLaMA) using medical domain knowledge,''</w:t>
      </w:r>
    </w:p>
    <w:p>
      <w:pPr>
        <w:spacing w:after="80"/>
        <w:ind w:left="720" w:hanging="720"/>
      </w:pPr>
      <w:r>
        <w:rPr>
          <w:b/>
        </w:rPr>
        <w:t xml:space="preserve">[ref77] </w:t>
      </w:r>
      <w:r>
        <w:t>A. Anthropic, ``The Claude model card and evaluations,''</w:t>
      </w:r>
    </w:p>
    <w:p>
      <w:pPr>
        <w:spacing w:after="80"/>
        <w:ind w:left="720" w:hanging="720"/>
      </w:pPr>
      <w:r>
        <w:rPr>
          <w:b/>
        </w:rPr>
        <w:t xml:space="preserve">[ref78] </w:t>
      </w:r>
      <w:r>
        <w:t>S. Bubeck, V. Chandrasekaran, R. Eldan, J. Gehrke, E. Horvitz, et al., ``Sparks of artificial general intelligence: Early experiments with GPT-4,''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