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jc w:val="center"/>
        <w:rPr/>
      </w:pPr>
      <w:bookmarkStart w:colFirst="0" w:colLast="0" w:name="_heading=h.agn55awwel0s" w:id="0"/>
      <w:bookmarkEnd w:id="0"/>
      <w:r w:rsidDel="00000000" w:rsidR="00000000" w:rsidRPr="00000000">
        <w:rPr>
          <w:rtl w:val="0"/>
        </w:rPr>
        <w:t xml:space="preserve">University of Connecticut</w:t>
      </w:r>
    </w:p>
    <w:p w:rsidR="00000000" w:rsidDel="00000000" w:rsidP="00000000" w:rsidRDefault="00000000" w:rsidRPr="00000000" w14:paraId="00000002">
      <w:pPr>
        <w:pStyle w:val="Subtitle"/>
        <w:jc w:val="center"/>
        <w:rPr/>
      </w:pPr>
      <w:bookmarkStart w:colFirst="0" w:colLast="0" w:name="_heading=h.agn55awwel0s" w:id="0"/>
      <w:bookmarkEnd w:id="0"/>
      <w:r w:rsidDel="00000000" w:rsidR="00000000" w:rsidRPr="00000000">
        <w:rPr>
          <w:rtl w:val="0"/>
        </w:rPr>
        <w:t xml:space="preserve">MS in Business Analytics and Project Management</w:t>
      </w:r>
    </w:p>
    <w:p w:rsidR="00000000" w:rsidDel="00000000" w:rsidP="00000000" w:rsidRDefault="00000000" w:rsidRPr="00000000" w14:paraId="00000003">
      <w:pPr>
        <w:pStyle w:val="Subtitle"/>
        <w:jc w:val="center"/>
        <w:rPr/>
      </w:pPr>
      <w:bookmarkStart w:colFirst="0" w:colLast="0" w:name="_heading=h.agn55awwel0s" w:id="0"/>
      <w:bookmarkEnd w:id="0"/>
      <w:r w:rsidDel="00000000" w:rsidR="00000000" w:rsidRPr="00000000">
        <w:rPr>
          <w:rtl w:val="0"/>
        </w:rPr>
      </w:r>
    </w:p>
    <w:p w:rsidR="00000000" w:rsidDel="00000000" w:rsidP="00000000" w:rsidRDefault="00000000" w:rsidRPr="00000000" w14:paraId="00000004">
      <w:pPr>
        <w:pStyle w:val="Subtitle"/>
        <w:jc w:val="center"/>
        <w:rPr/>
      </w:pPr>
      <w:bookmarkStart w:colFirst="0" w:colLast="0" w:name="_heading=h.agn55awwel0s" w:id="0"/>
      <w:bookmarkEnd w:id="0"/>
      <w:r w:rsidDel="00000000" w:rsidR="00000000" w:rsidRPr="00000000">
        <w:rPr>
          <w:rtl w:val="0"/>
        </w:rPr>
        <w:t xml:space="preserve">OPIM-5671- Data Mining and Business Intelligence </w:t>
      </w:r>
    </w:p>
    <w:p w:rsidR="00000000" w:rsidDel="00000000" w:rsidP="00000000" w:rsidRDefault="00000000" w:rsidRPr="00000000" w14:paraId="00000005">
      <w:pPr>
        <w:pStyle w:val="Subtitle"/>
        <w:jc w:val="center"/>
        <w:rPr/>
      </w:pPr>
      <w:bookmarkStart w:colFirst="0" w:colLast="0" w:name="_heading=h.agn55awwel0s" w:id="0"/>
      <w:bookmarkEnd w:id="0"/>
      <w:r w:rsidDel="00000000" w:rsidR="00000000" w:rsidRPr="00000000">
        <w:rPr>
          <w:rtl w:val="0"/>
        </w:rPr>
        <w:t xml:space="preserve">Professor Cruz</w:t>
      </w:r>
    </w:p>
    <w:p w:rsidR="00000000" w:rsidDel="00000000" w:rsidP="00000000" w:rsidRDefault="00000000" w:rsidRPr="00000000" w14:paraId="0000000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7">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pStyle w:val="Title"/>
        <w:spacing w:before="240" w:lineRule="auto"/>
        <w:jc w:val="center"/>
        <w:rPr/>
      </w:pPr>
      <w:bookmarkStart w:colFirst="0" w:colLast="0" w:name="_heading=h.1nfjvbqm24gd" w:id="1"/>
      <w:bookmarkEnd w:id="1"/>
      <w:r w:rsidDel="00000000" w:rsidR="00000000" w:rsidRPr="00000000">
        <w:rPr>
          <w:b w:val="1"/>
          <w:rtl w:val="0"/>
        </w:rPr>
        <w:t xml:space="preserve">Forecasting Unemployment Rate</w:t>
      </w:r>
      <w:r w:rsidDel="00000000" w:rsidR="00000000" w:rsidRPr="00000000">
        <w:rPr>
          <w:rtl w:val="0"/>
        </w:rPr>
        <w:t xml:space="preserve"> </w:t>
      </w:r>
    </w:p>
    <w:p w:rsidR="00000000" w:rsidDel="00000000" w:rsidP="00000000" w:rsidRDefault="00000000" w:rsidRPr="00000000" w14:paraId="0000000A">
      <w:pPr>
        <w:spacing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Style w:val="Subtitle"/>
        <w:jc w:val="center"/>
        <w:rPr/>
      </w:pPr>
      <w:bookmarkStart w:colFirst="0" w:colLast="0" w:name="_heading=h.rgev9kbq4qif" w:id="2"/>
      <w:bookmarkEnd w:id="2"/>
      <w:r w:rsidDel="00000000" w:rsidR="00000000" w:rsidRPr="00000000">
        <w:rPr>
          <w:rtl w:val="0"/>
        </w:rPr>
      </w:r>
    </w:p>
    <w:p w:rsidR="00000000" w:rsidDel="00000000" w:rsidP="00000000" w:rsidRDefault="00000000" w:rsidRPr="00000000" w14:paraId="0000000E">
      <w:pPr>
        <w:pStyle w:val="Subtitle"/>
        <w:jc w:val="center"/>
        <w:rPr/>
      </w:pPr>
      <w:bookmarkStart w:colFirst="0" w:colLast="0" w:name="_heading=h.rgev9kbq4qif" w:id="2"/>
      <w:bookmarkEnd w:id="2"/>
      <w:r w:rsidDel="00000000" w:rsidR="00000000" w:rsidRPr="00000000">
        <w:rPr>
          <w:rtl w:val="0"/>
        </w:rPr>
        <w:t xml:space="preserve">Group 4:</w:t>
      </w:r>
    </w:p>
    <w:p w:rsidR="00000000" w:rsidDel="00000000" w:rsidP="00000000" w:rsidRDefault="00000000" w:rsidRPr="00000000" w14:paraId="0000000F">
      <w:pPr>
        <w:pStyle w:val="Subtitle"/>
        <w:jc w:val="center"/>
        <w:rPr/>
      </w:pPr>
      <w:bookmarkStart w:colFirst="0" w:colLast="0" w:name="_heading=h.rgev9kbq4qif" w:id="2"/>
      <w:bookmarkEnd w:id="2"/>
      <w:r w:rsidDel="00000000" w:rsidR="00000000" w:rsidRPr="00000000">
        <w:rPr>
          <w:rtl w:val="0"/>
        </w:rPr>
        <w:t xml:space="preserve">Abhinav Dubey</w:t>
      </w:r>
    </w:p>
    <w:p w:rsidR="00000000" w:rsidDel="00000000" w:rsidP="00000000" w:rsidRDefault="00000000" w:rsidRPr="00000000" w14:paraId="00000010">
      <w:pPr>
        <w:pStyle w:val="Subtitle"/>
        <w:jc w:val="center"/>
        <w:rPr/>
      </w:pPr>
      <w:bookmarkStart w:colFirst="0" w:colLast="0" w:name="_heading=h.rgev9kbq4qif" w:id="2"/>
      <w:bookmarkEnd w:id="2"/>
      <w:r w:rsidDel="00000000" w:rsidR="00000000" w:rsidRPr="00000000">
        <w:rPr>
          <w:rtl w:val="0"/>
        </w:rPr>
        <w:t xml:space="preserve">Jiaxuan Wang</w:t>
      </w:r>
    </w:p>
    <w:p w:rsidR="00000000" w:rsidDel="00000000" w:rsidP="00000000" w:rsidRDefault="00000000" w:rsidRPr="00000000" w14:paraId="00000011">
      <w:pPr>
        <w:pStyle w:val="Subtitle"/>
        <w:jc w:val="center"/>
        <w:rPr/>
      </w:pPr>
      <w:bookmarkStart w:colFirst="0" w:colLast="0" w:name="_heading=h.rgev9kbq4qif" w:id="2"/>
      <w:bookmarkEnd w:id="2"/>
      <w:r w:rsidDel="00000000" w:rsidR="00000000" w:rsidRPr="00000000">
        <w:rPr>
          <w:rtl w:val="0"/>
        </w:rPr>
        <w:t xml:space="preserve">Marina Suberlyak</w:t>
      </w:r>
    </w:p>
    <w:p w:rsidR="00000000" w:rsidDel="00000000" w:rsidP="00000000" w:rsidRDefault="00000000" w:rsidRPr="00000000" w14:paraId="00000012">
      <w:pPr>
        <w:pStyle w:val="Subtitle"/>
        <w:jc w:val="center"/>
        <w:rPr/>
      </w:pPr>
      <w:bookmarkStart w:colFirst="0" w:colLast="0" w:name="_heading=h.rgev9kbq4qif" w:id="2"/>
      <w:bookmarkEnd w:id="2"/>
      <w:r w:rsidDel="00000000" w:rsidR="00000000" w:rsidRPr="00000000">
        <w:rPr>
          <w:rtl w:val="0"/>
        </w:rPr>
        <w:t xml:space="preserve">Shaista Usman  </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8">
          <w:pPr>
            <w:tabs>
              <w:tab w:val="right" w:pos="974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bn5sj4l51zy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_heading=h.bn5sj4l51zyz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74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yf0qqae9okq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_heading=h.yf0qqae9okq5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8uwhpo8mslg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_heading=h.8uwhpo8mslgl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khk65iidb5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Explore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_heading=h.bkhk65iidb5c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xjuqdxxypm5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Modify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_heading=h.xjuqdxxypm51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745.511811023624"/>
            </w:tabs>
            <w:spacing w:before="60" w:line="240" w:lineRule="auto"/>
            <w:ind w:left="360" w:firstLine="0"/>
            <w:rPr>
              <w:rFonts w:ascii="Times New Roman" w:cs="Times New Roman" w:eastAsia="Times New Roman" w:hAnsi="Times New Roman"/>
              <w:b w:val="1"/>
              <w:sz w:val="24"/>
              <w:szCs w:val="24"/>
            </w:rPr>
          </w:pPr>
          <w:hyperlink w:anchor="_heading=h.p5ro3dd8ttx6">
            <w:r w:rsidDel="00000000" w:rsidR="00000000" w:rsidRPr="00000000">
              <w:rPr>
                <w:rFonts w:ascii="Times New Roman" w:cs="Times New Roman" w:eastAsia="Times New Roman" w:hAnsi="Times New Roman"/>
                <w:b w:val="1"/>
                <w:sz w:val="24"/>
                <w:szCs w:val="24"/>
                <w:rtl w:val="0"/>
              </w:rPr>
              <w:t xml:space="preserve">Model 1</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_heading=h.p5ro3dd8ttx6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745.511811023624"/>
            </w:tabs>
            <w:spacing w:before="60" w:line="240" w:lineRule="auto"/>
            <w:ind w:left="360" w:firstLine="0"/>
            <w:rPr>
              <w:rFonts w:ascii="Times New Roman" w:cs="Times New Roman" w:eastAsia="Times New Roman" w:hAnsi="Times New Roman"/>
              <w:b w:val="1"/>
              <w:sz w:val="24"/>
              <w:szCs w:val="24"/>
            </w:rPr>
          </w:pPr>
          <w:hyperlink w:anchor="_heading=h.e7jh70xnodiz">
            <w:r w:rsidDel="00000000" w:rsidR="00000000" w:rsidRPr="00000000">
              <w:rPr>
                <w:rFonts w:ascii="Times New Roman" w:cs="Times New Roman" w:eastAsia="Times New Roman" w:hAnsi="Times New Roman"/>
                <w:b w:val="1"/>
                <w:sz w:val="24"/>
                <w:szCs w:val="24"/>
                <w:rtl w:val="0"/>
              </w:rPr>
              <w:t xml:space="preserve">Model 2</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_heading=h.e7jh70xnodiz \h </w:instrText>
            <w:fldChar w:fldCharType="separate"/>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antj3obkuk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Assess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_heading=h.antj3obkukz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74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yo3w2eth9z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_heading=h.3yo3w2eth9zn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745.511811023624"/>
            </w:tabs>
            <w:spacing w:before="200" w:line="240" w:lineRule="auto"/>
            <w:ind w:left="0" w:firstLine="0"/>
            <w:rPr>
              <w:rFonts w:ascii="Times New Roman" w:cs="Times New Roman" w:eastAsia="Times New Roman" w:hAnsi="Times New Roman"/>
              <w:b w:val="1"/>
              <w:sz w:val="24"/>
              <w:szCs w:val="24"/>
            </w:rPr>
          </w:pPr>
          <w:hyperlink w:anchor="_heading=h.n1sxnu6krbb8">
            <w:r w:rsidDel="00000000" w:rsidR="00000000" w:rsidRPr="00000000">
              <w:rPr>
                <w:rFonts w:ascii="Times New Roman" w:cs="Times New Roman" w:eastAsia="Times New Roman" w:hAnsi="Times New Roman"/>
                <w:b w:val="1"/>
                <w:sz w:val="24"/>
                <w:szCs w:val="24"/>
                <w:rtl w:val="0"/>
              </w:rPr>
              <w:t xml:space="preserve">Conclusions and Recommendations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_heading=h.n1sxnu6krbb8 \h </w:instrText>
            <w:fldChar w:fldCharType="separate"/>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745.511811023624"/>
            </w:tabs>
            <w:spacing w:after="80" w:before="200" w:line="240" w:lineRule="auto"/>
            <w:ind w:left="0" w:firstLine="0"/>
            <w:rPr>
              <w:rFonts w:ascii="Times New Roman" w:cs="Times New Roman" w:eastAsia="Times New Roman" w:hAnsi="Times New Roman"/>
              <w:b w:val="1"/>
              <w:sz w:val="24"/>
              <w:szCs w:val="24"/>
            </w:rPr>
          </w:pPr>
          <w:hyperlink w:anchor="_heading=h.5io583xa2fjt">
            <w:r w:rsidDel="00000000" w:rsidR="00000000" w:rsidRPr="00000000">
              <w:rPr>
                <w:rFonts w:ascii="Times New Roman" w:cs="Times New Roman" w:eastAsia="Times New Roman" w:hAnsi="Times New Roman"/>
                <w:b w:val="1"/>
                <w:sz w:val="24"/>
                <w:szCs w:val="24"/>
                <w:rtl w:val="0"/>
              </w:rPr>
              <w:t xml:space="preserve">References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_heading=h.5io583xa2fjt \h </w:instrText>
            <w:fldChar w:fldCharType="separate"/>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Style w:val="Heading2"/>
        <w:spacing w:before="240" w:line="240" w:lineRule="auto"/>
        <w:rPr>
          <w:rFonts w:ascii="Times New Roman" w:cs="Times New Roman" w:eastAsia="Times New Roman" w:hAnsi="Times New Roman"/>
          <w:sz w:val="24"/>
          <w:szCs w:val="24"/>
        </w:rPr>
      </w:pPr>
      <w:bookmarkStart w:colFirst="0" w:colLast="0" w:name="_heading=h.8i33hchuem8h" w:id="3"/>
      <w:bookmarkEnd w:id="3"/>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spacing w:before="240" w:lineRule="auto"/>
        <w:rPr/>
      </w:pPr>
      <w:bookmarkStart w:colFirst="0" w:colLast="0" w:name="_heading=h.bn5sj4l51zyz" w:id="4"/>
      <w:bookmarkEnd w:id="4"/>
      <w:r w:rsidDel="00000000" w:rsidR="00000000" w:rsidRPr="00000000">
        <w:rPr>
          <w:rtl w:val="0"/>
        </w:rPr>
        <w:t xml:space="preserve">Problem Statement</w:t>
      </w:r>
    </w:p>
    <w:p w:rsidR="00000000" w:rsidDel="00000000" w:rsidP="00000000" w:rsidRDefault="00000000" w:rsidRPr="00000000" w14:paraId="0000002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Unemployment rate is a metric used by governments, economists and researchers to gauge the health of the labor market and the economy. For clarity, unemployment rate is calculated by expressing the number of unemployed persons as a percentage of the total number of persons in the labor force. </w:t>
      </w:r>
    </w:p>
    <w:p w:rsidR="00000000" w:rsidDel="00000000" w:rsidP="00000000" w:rsidRDefault="00000000" w:rsidRPr="00000000" w14:paraId="0000002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analysis, we will seek to model the unemployment rate in the United States by exploring trends, seasonality, events and several regressors from the historical economic data. We will then forecast near-term unemployment rate to provide an output from our model.</w:t>
      </w:r>
    </w:p>
    <w:p w:rsidR="00000000" w:rsidDel="00000000" w:rsidP="00000000" w:rsidRDefault="00000000" w:rsidRPr="00000000" w14:paraId="0000002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expect this analysis will arm the decision-makers with unemployment rate forecasts as well as thorough understanding of its patterns and correlated variables, and equip them to devise effective fiscal policies </w:t>
      </w:r>
      <w:r w:rsidDel="00000000" w:rsidR="00000000" w:rsidRPr="00000000">
        <w:rPr>
          <w:rFonts w:ascii="Times New Roman" w:cs="Times New Roman" w:eastAsia="Times New Roman" w:hAnsi="Times New Roman"/>
          <w:sz w:val="24"/>
          <w:szCs w:val="24"/>
          <w:rtl w:val="0"/>
        </w:rPr>
        <w:t xml:space="preserve">to remedy the causes of unemployment. This is particularly critical during economic shocks such as the economic disruption during COVID-19 pandemic, where labor market participants rely on government intervention to provide a safety net, stabilize the economy and devise incentives for the markets to bounce back</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2B">
      <w:pPr>
        <w:pStyle w:val="Heading2"/>
        <w:rPr/>
      </w:pPr>
      <w:bookmarkStart w:colFirst="0" w:colLast="0" w:name="_heading=h.yf0qqae9okq5" w:id="5"/>
      <w:bookmarkEnd w:id="5"/>
      <w:r w:rsidDel="00000000" w:rsidR="00000000" w:rsidRPr="00000000">
        <w:rPr>
          <w:rtl w:val="0"/>
        </w:rPr>
        <w:t xml:space="preserve">Methodology</w:t>
        <w:tab/>
      </w:r>
    </w:p>
    <w:p w:rsidR="00000000" w:rsidDel="00000000" w:rsidP="00000000" w:rsidRDefault="00000000" w:rsidRPr="00000000" w14:paraId="0000002C">
      <w:pPr>
        <w:pStyle w:val="Heading3"/>
        <w:rPr/>
      </w:pPr>
      <w:bookmarkStart w:colFirst="0" w:colLast="0" w:name="_heading=h.8uwhpo8mslgl" w:id="6"/>
      <w:bookmarkEnd w:id="6"/>
      <w:r w:rsidDel="00000000" w:rsidR="00000000" w:rsidRPr="00000000">
        <w:rPr>
          <w:rtl w:val="0"/>
        </w:rPr>
        <w:t xml:space="preserve">Sample</w:t>
      </w:r>
    </w:p>
    <w:p w:rsidR="00000000" w:rsidDel="00000000" w:rsidP="00000000" w:rsidRDefault="00000000" w:rsidRPr="00000000" w14:paraId="0000002D">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time series used is the official U.S. unemployment statistics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that are produced by the U.S. Bureau of Labor Statistics and are released on the first Friday of every month. The timeline for this data spans from 1948 to February 2021, and showcases how the unemployment rate has oscillated during a variety of historical events. </w:t>
      </w:r>
    </w:p>
    <w:p w:rsidR="00000000" w:rsidDel="00000000" w:rsidP="00000000" w:rsidRDefault="00000000" w:rsidRPr="00000000" w14:paraId="0000002E">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188400" cy="2362200"/>
            <wp:effectExtent b="0" l="0" r="0" t="0"/>
            <wp:docPr id="1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1884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Additional related variables were also considered as regressor variables: </w:t>
      </w:r>
    </w:p>
    <w:p w:rsidR="00000000" w:rsidDel="00000000" w:rsidP="00000000" w:rsidRDefault="00000000" w:rsidRPr="00000000" w14:paraId="00000030">
      <w:pPr>
        <w:numPr>
          <w:ilvl w:val="0"/>
          <w:numId w:val="3"/>
        </w:numPr>
        <w:spacing w:after="0" w:afterAutospacing="0" w:before="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Job Openings and Labor Turnover Survey</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 absolute job openings per month; from here on, referred as JTSJOL</w:t>
      </w:r>
    </w:p>
    <w:p w:rsidR="00000000" w:rsidDel="00000000" w:rsidP="00000000" w:rsidRDefault="00000000" w:rsidRPr="00000000" w14:paraId="00000031">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Initial Claims for Unemployment Insurance</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highlight w:val="white"/>
          <w:rtl w:val="0"/>
        </w:rPr>
        <w:t xml:space="preserve"> - absolute jobless claims per week; from here on, referred as ICSA</w:t>
      </w:r>
    </w:p>
    <w:p w:rsidR="00000000" w:rsidDel="00000000" w:rsidP="00000000" w:rsidRDefault="00000000" w:rsidRPr="00000000" w14:paraId="00000032">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Dow Jones Industrial average</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as measure of stock market performance - close level on last day of month; from here on, referred as DJI</w:t>
      </w:r>
    </w:p>
    <w:p w:rsidR="00000000" w:rsidDel="00000000" w:rsidP="00000000" w:rsidRDefault="00000000" w:rsidRPr="00000000" w14:paraId="00000033">
      <w:pPr>
        <w:numPr>
          <w:ilvl w:val="0"/>
          <w:numId w:val="3"/>
        </w:numPr>
        <w:spacing w:after="24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Consumer Price Index</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as measure of inflation - average price of a basket of goods indexed against same basket price of 1982-84; from here on, referred as CPI</w:t>
      </w:r>
    </w:p>
    <w:p w:rsidR="00000000" w:rsidDel="00000000" w:rsidP="00000000" w:rsidRDefault="00000000" w:rsidRPr="00000000" w14:paraId="00000034">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visual representation of the variables vs. unemployment rate is below:</w:t>
      </w:r>
    </w:p>
    <w:p w:rsidR="00000000" w:rsidDel="00000000" w:rsidP="00000000" w:rsidRDefault="00000000" w:rsidRPr="00000000" w14:paraId="00000035">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188400" cy="2628900"/>
            <wp:effectExtent b="0" l="0" r="0" t="0"/>
            <wp:docPr id="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884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spacing w:line="360" w:lineRule="auto"/>
        <w:rPr/>
      </w:pPr>
      <w:bookmarkStart w:colFirst="0" w:colLast="0" w:name="_heading=h.bkhk65iidb5c" w:id="7"/>
      <w:bookmarkEnd w:id="7"/>
      <w:r w:rsidDel="00000000" w:rsidR="00000000" w:rsidRPr="00000000">
        <w:rPr>
          <w:rtl w:val="0"/>
        </w:rPr>
        <w:t xml:space="preserve">Explore</w:t>
        <w:tab/>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sampling and research phase, eleven unemployment rate spikes and subsequent drops were identified and explained by historical events such as wars, interest rate mistakes, and crises. Using significance tests on the parameters, only the spike of 2020 driven by COVID-19 pandemic was worthy to include as an</w:t>
      </w:r>
      <w:r w:rsidDel="00000000" w:rsidR="00000000" w:rsidRPr="00000000">
        <w:rPr>
          <w:rFonts w:ascii="Times New Roman" w:cs="Times New Roman" w:eastAsia="Times New Roman" w:hAnsi="Times New Roman"/>
          <w:i w:val="1"/>
          <w:sz w:val="24"/>
          <w:szCs w:val="24"/>
          <w:rtl w:val="0"/>
        </w:rPr>
        <w:t xml:space="preserve"> event intervention</w:t>
      </w:r>
      <w:r w:rsidDel="00000000" w:rsidR="00000000" w:rsidRPr="00000000">
        <w:rPr>
          <w:rFonts w:ascii="Times New Roman" w:cs="Times New Roman" w:eastAsia="Times New Roman" w:hAnsi="Times New Roman"/>
          <w:sz w:val="24"/>
          <w:szCs w:val="24"/>
          <w:rtl w:val="0"/>
        </w:rPr>
        <w:t xml:space="preserve"> in the modeling.</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stage, </w:t>
      </w:r>
      <w:r w:rsidDel="00000000" w:rsidR="00000000" w:rsidRPr="00000000">
        <w:rPr>
          <w:rFonts w:ascii="Times New Roman" w:cs="Times New Roman" w:eastAsia="Times New Roman" w:hAnsi="Times New Roman"/>
          <w:i w:val="1"/>
          <w:sz w:val="24"/>
          <w:szCs w:val="24"/>
          <w:rtl w:val="0"/>
        </w:rPr>
        <w:t xml:space="preserve">regressor variables</w:t>
      </w:r>
      <w:r w:rsidDel="00000000" w:rsidR="00000000" w:rsidRPr="00000000">
        <w:rPr>
          <w:rFonts w:ascii="Times New Roman" w:cs="Times New Roman" w:eastAsia="Times New Roman" w:hAnsi="Times New Roman"/>
          <w:sz w:val="24"/>
          <w:szCs w:val="24"/>
          <w:rtl w:val="0"/>
        </w:rPr>
        <w:t xml:space="preserve"> were also evaluated in cross correlation to unemployment rate. Visual inspection and cross-correlation plots indicated only JTSJOL and ICSA were promising as regressors due to significance and spikes around lag 0 and will be attempted during modeling.</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tbl>
      <w:tblPr>
        <w:tblStyle w:val="Table1"/>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 Correlation Plots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4795" cy="2190210"/>
                  <wp:effectExtent b="0" l="0" r="0" t="0"/>
                  <wp:docPr id="1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594795" cy="21902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Importantly, the two significant regressors introduce the necessity to shorten the unemployment time series. As a consequence, we chose to break our analysis as follows:</w:t>
      </w:r>
    </w:p>
    <w:p w:rsidR="00000000" w:rsidDel="00000000" w:rsidP="00000000" w:rsidRDefault="00000000" w:rsidRPr="00000000" w14:paraId="0000003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consider the entire time series and model without the regressors; event interventions, trend, seasonality, and irregularity are all explored. This is called Model 1</w:t>
      </w:r>
    </w:p>
    <w:p w:rsidR="00000000" w:rsidDel="00000000" w:rsidP="00000000" w:rsidRDefault="00000000" w:rsidRPr="00000000" w14:paraId="0000004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modify the unemployment time series to align with the period where the regressors are available. Specifically, only years 2000-2021 are modeled and in addition to trend, seasonality and irregularity, we include the regressors. This is called Model 2</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compare models for performance and recommend the better approach in our Results section.</w:t>
      </w:r>
    </w:p>
    <w:p w:rsidR="00000000" w:rsidDel="00000000" w:rsidP="00000000" w:rsidRDefault="00000000" w:rsidRPr="00000000" w14:paraId="00000043">
      <w:pPr>
        <w:pStyle w:val="Heading3"/>
        <w:spacing w:line="360" w:lineRule="auto"/>
        <w:rPr>
          <w:rFonts w:ascii="Times New Roman" w:cs="Times New Roman" w:eastAsia="Times New Roman" w:hAnsi="Times New Roman"/>
          <w:sz w:val="24"/>
          <w:szCs w:val="24"/>
        </w:rPr>
      </w:pPr>
      <w:bookmarkStart w:colFirst="0" w:colLast="0" w:name="_heading=h.xjuqdxxypm51" w:id="8"/>
      <w:bookmarkEnd w:id="8"/>
      <w:r w:rsidDel="00000000" w:rsidR="00000000" w:rsidRPr="00000000">
        <w:rPr>
          <w:rtl w:val="0"/>
        </w:rPr>
        <w:t xml:space="preserve">Modify</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 accommodate analysis with regressors, we perform the following modifications to our dataset: (1) the historical data on the time series is pruned to align with the regressor variables where year 2000 onwards is available; (2) the weekly data for Initial Claims for Unemployment Insurance (ICSA) is aggregated over a period of 4 weeks to align with the available monthly unemployment data. </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tbl>
      <w:tblPr>
        <w:tblStyle w:val="Table2"/>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Time Series for Modeling with Regressors</w:t>
            </w:r>
          </w:p>
        </w:tc>
      </w:tr>
      <w:tr>
        <w:trPr>
          <w:trHeight w:val="4698.310546875" w:hRule="atLeast"/>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8375" cy="2895600"/>
                  <wp:effectExtent b="0" l="0" r="0" t="0"/>
                  <wp:docPr id="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048375" cy="2895600"/>
                          </a:xfrm>
                          <a:prstGeom prst="rect"/>
                          <a:ln/>
                        </pic:spPr>
                      </pic:pic>
                    </a:graphicData>
                  </a:graphic>
                </wp:inline>
              </w:drawing>
            </w:r>
            <w:r w:rsidDel="00000000" w:rsidR="00000000" w:rsidRPr="00000000">
              <w:rPr>
                <w:rtl w:val="0"/>
              </w:rPr>
            </w:r>
          </w:p>
        </w:tc>
      </w:tr>
      <w:t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Timeline: April 2000 to Feb 2021</w:t>
            </w:r>
          </w:p>
        </w:tc>
      </w:tr>
    </w:tbl>
    <w:p w:rsidR="00000000" w:rsidDel="00000000" w:rsidP="00000000" w:rsidRDefault="00000000" w:rsidRPr="00000000" w14:paraId="00000049">
      <w:pPr>
        <w:pStyle w:val="Heading3"/>
        <w:spacing w:line="360" w:lineRule="auto"/>
        <w:rPr/>
      </w:pPr>
      <w:bookmarkStart w:colFirst="0" w:colLast="0" w:name="_heading=h.p5ro3dd8ttx6" w:id="9"/>
      <w:bookmarkEnd w:id="9"/>
      <w:r w:rsidDel="00000000" w:rsidR="00000000" w:rsidRPr="00000000">
        <w:rPr>
          <w:rtl w:val="0"/>
        </w:rPr>
        <w:t xml:space="preserve">Model 1</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1 includes all the events and the timeline from January 1948 to February 2021. </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Examining the autocorrelation plots, we observe decaying significance post lag 1 in ACF, and no repetitive behavior over S time units in PACF and IACF. Unit Root test shows significance, denying presence of trend. We remain conscious that we have multiple events, which may be breaking the trend. We conclude the series is non-stationary, with possible trend, irregularity and no seasonality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tbl>
      <w:tblPr>
        <w:tblStyle w:val="Table3"/>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Stationary and White Noise Tests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1325" cy="1646827"/>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81325" cy="164682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19413" cy="1634493"/>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919413" cy="16344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capturing events as interventions, trialing several trend equations and modeling irregularity with autoregressive (AR) and moving average (MA) parameters, we narrow down the models to two where all parameters are significant: COVID + AR(2) and Linear Trend + COVID + AR(2). We choose </w:t>
      </w:r>
      <w:r w:rsidDel="00000000" w:rsidR="00000000" w:rsidRPr="00000000">
        <w:rPr>
          <w:rFonts w:ascii="Times New Roman" w:cs="Times New Roman" w:eastAsia="Times New Roman" w:hAnsi="Times New Roman"/>
          <w:sz w:val="24"/>
          <w:szCs w:val="24"/>
          <w:shd w:fill="b7b7b7" w:val="clear"/>
          <w:rtl w:val="0"/>
        </w:rPr>
        <w:t xml:space="preserve">COVID + AR(2)</w:t>
      </w:r>
      <w:r w:rsidDel="00000000" w:rsidR="00000000" w:rsidRPr="00000000">
        <w:rPr>
          <w:rFonts w:ascii="Times New Roman" w:cs="Times New Roman" w:eastAsia="Times New Roman" w:hAnsi="Times New Roman"/>
          <w:sz w:val="24"/>
          <w:szCs w:val="24"/>
          <w:rtl w:val="0"/>
        </w:rPr>
        <w:t xml:space="preserve"> as our final Model 1 because it yields slightly better RMSE and SBC, accounts for all irregularly as supported by White Noise test, autocorrelation plots show no significant lags and residual plot has random peaks. It also has less complexity than all others and is therefore more operationally and intellectually appealing.</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tbl>
      <w:tblPr>
        <w:tblStyle w:val="Table4"/>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16" w:lineRule="auto"/>
              <w:jc w:val="cente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3f3f3f"/>
                <w:sz w:val="24"/>
                <w:szCs w:val="24"/>
                <w:rtl w:val="0"/>
              </w:rPr>
              <w:t xml:space="preserve">Modeling Trend, Events and Irregularity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Pr>
              <w:drawing>
                <wp:inline distB="19050" distT="19050" distL="19050" distR="19050">
                  <wp:extent cx="3867912" cy="677116"/>
                  <wp:effectExtent b="0" l="0" r="0" t="0"/>
                  <wp:docPr id="2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867912" cy="67711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3919538</wp:posOffset>
                  </wp:positionH>
                  <wp:positionV relativeFrom="paragraph">
                    <wp:posOffset>57150</wp:posOffset>
                  </wp:positionV>
                  <wp:extent cx="2005013" cy="1390268"/>
                  <wp:effectExtent b="0" l="0" r="0" t="0"/>
                  <wp:wrapSquare wrapText="bothSides" distB="19050" distT="19050" distL="19050" distR="19050"/>
                  <wp:docPr id="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005013" cy="1390268"/>
                          </a:xfrm>
                          <a:prstGeom prst="rect"/>
                          <a:ln/>
                        </pic:spPr>
                      </pic:pic>
                    </a:graphicData>
                  </a:graphic>
                </wp:anchor>
              </w:drawing>
            </w:r>
          </w:p>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Pr>
              <w:drawing>
                <wp:inline distB="19050" distT="19050" distL="19050" distR="19050">
                  <wp:extent cx="3867912" cy="702405"/>
                  <wp:effectExtent b="0" l="0" r="0" t="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867912" cy="702405"/>
                          </a:xfrm>
                          <a:prstGeom prst="rect"/>
                          <a:ln/>
                        </pic:spPr>
                      </pic:pic>
                    </a:graphicData>
                  </a:graphic>
                </wp:inline>
              </w:drawing>
            </w:r>
            <w:r w:rsidDel="00000000" w:rsidR="00000000" w:rsidRPr="00000000">
              <w:rPr>
                <w:rFonts w:ascii="Times New Roman" w:cs="Times New Roman" w:eastAsia="Times New Roman" w:hAnsi="Times New Roman"/>
                <w:color w:val="434343"/>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Best Model: COVID + AR(2)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Pr>
              <w:drawing>
                <wp:inline distB="19050" distT="19050" distL="19050" distR="19050">
                  <wp:extent cx="4252913" cy="2140294"/>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252913" cy="21402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A">
      <w:pPr>
        <w:pStyle w:val="Heading3"/>
        <w:spacing w:line="360" w:lineRule="auto"/>
        <w:rPr/>
      </w:pPr>
      <w:bookmarkStart w:colFirst="0" w:colLast="0" w:name="_heading=h.e7jh70xnodiz" w:id="10"/>
      <w:bookmarkEnd w:id="10"/>
      <w:r w:rsidDel="00000000" w:rsidR="00000000" w:rsidRPr="00000000">
        <w:rPr>
          <w:rtl w:val="0"/>
        </w:rPr>
        <w:t xml:space="preserve">Model 2</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Model 2, we are analyzing a shorter time series of unemployment rate but adding regressors to improve our model accuracy. We also choose to omit event intervention as our series has a limited horizon; we will rely on regressors and irregularity modeling to capture the patterns.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stationary diagnosis, ACF shows decaying significance after lag 1 and Unit Root test confirms presence of trend. PACF and IACF show no repetitive patterns at S time periods; White Noise provides evidence for irregularity. We can conclude that the series is non-stationary.</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tbl>
      <w:tblPr>
        <w:tblStyle w:val="Table5"/>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Stationary Tests and White Noise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0944" cy="1415948"/>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980944" cy="141594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80944" cy="1425264"/>
                  <wp:effectExtent b="0" l="0" r="0" t="0"/>
                  <wp:docPr id="4" name="image7.png"/>
                  <a:graphic>
                    <a:graphicData uri="http://schemas.openxmlformats.org/drawingml/2006/picture">
                      <pic:pic>
                        <pic:nvPicPr>
                          <pic:cNvPr id="0" name="image7.png"/>
                          <pic:cNvPicPr preferRelativeResize="0"/>
                        </pic:nvPicPr>
                        <pic:blipFill>
                          <a:blip r:embed="rId18"/>
                          <a:srcRect b="342" l="0" r="0" t="342"/>
                          <a:stretch>
                            <a:fillRect/>
                          </a:stretch>
                        </pic:blipFill>
                        <pic:spPr>
                          <a:xfrm>
                            <a:off x="0" y="0"/>
                            <a:ext cx="2980944" cy="142526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second modeling approach, we included the regressor variables that had promising levels of cross correlation with the unemployment rate, specifically Job Openings and Initial Claims for unemployment insurance. Including trend and the stationary components, we settle on our optimal model: </w:t>
      </w:r>
      <w:r w:rsidDel="00000000" w:rsidR="00000000" w:rsidRPr="00000000">
        <w:rPr>
          <w:rFonts w:ascii="Times New Roman" w:cs="Times New Roman" w:eastAsia="Times New Roman" w:hAnsi="Times New Roman"/>
          <w:sz w:val="24"/>
          <w:szCs w:val="24"/>
          <w:shd w:fill="cccccc" w:val="clear"/>
          <w:rtl w:val="0"/>
        </w:rPr>
        <w:t xml:space="preserve">Linear trend + regressor variables + AR(1)</w:t>
      </w:r>
      <w:r w:rsidDel="00000000" w:rsidR="00000000" w:rsidRPr="00000000">
        <w:rPr>
          <w:rFonts w:ascii="Times New Roman" w:cs="Times New Roman" w:eastAsia="Times New Roman" w:hAnsi="Times New Roman"/>
          <w:sz w:val="24"/>
          <w:szCs w:val="24"/>
          <w:rtl w:val="0"/>
        </w:rPr>
        <w:t xml:space="preserve">. The model’s parameters are all significant, it passes the white noise test, unit root test and seasonal root test. The autocorrelation plots no longer have any significant lags and the residual plot has random peaks and fluctuations, further indicating that the time series is close to being white noise.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tbl>
      <w:tblPr>
        <w:tblStyle w:val="Table6"/>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1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Model: ICSA + JTSJOL + Linear + AR(1)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0944" cy="1546365"/>
                  <wp:effectExtent b="0" l="0" r="0" 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980944" cy="154636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80944" cy="1560027"/>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980944" cy="156002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tbl>
      <w:tblPr>
        <w:tblStyle w:val="Table7"/>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49424" cy="1191432"/>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249424" cy="119143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66160" cy="1188720"/>
                  <wp:effectExtent b="0" l="0" r="0" t="0"/>
                  <wp:docPr id="1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566160" cy="118872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Statistics of Fit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7188" cy="1223394"/>
                  <wp:effectExtent b="0" l="0" r="0" t="0"/>
                  <wp:docPr id="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167188" cy="12233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Style w:val="Heading3"/>
        <w:spacing w:line="360" w:lineRule="auto"/>
        <w:rPr/>
      </w:pPr>
      <w:bookmarkStart w:colFirst="0" w:colLast="0" w:name="_heading=h.antj3obkukz" w:id="11"/>
      <w:bookmarkEnd w:id="11"/>
      <w:r w:rsidDel="00000000" w:rsidR="00000000" w:rsidRPr="00000000">
        <w:rPr>
          <w:rtl w:val="0"/>
        </w:rPr>
        <w:t xml:space="preserve">Assess</w:t>
        <w:tab/>
      </w:r>
    </w:p>
    <w:p w:rsidR="00000000" w:rsidDel="00000000" w:rsidP="00000000" w:rsidRDefault="00000000" w:rsidRPr="00000000" w14:paraId="0000006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now assess</w:t>
      </w:r>
      <w:r w:rsidDel="00000000" w:rsidR="00000000" w:rsidRPr="00000000">
        <w:rPr>
          <w:rFonts w:ascii="Times New Roman" w:cs="Times New Roman" w:eastAsia="Times New Roman" w:hAnsi="Times New Roman"/>
          <w:sz w:val="24"/>
          <w:szCs w:val="24"/>
          <w:rtl w:val="0"/>
        </w:rPr>
        <w:t xml:space="preserve"> the results of the two best models. We have already established that both models are sound, with significant parameters, captured trend and irregularity. Therefore, we focus on error, complexity, data horizon and 5-year forecasts to identify the better performing model.</w:t>
      </w:r>
    </w:p>
    <w:tbl>
      <w:tblPr>
        <w:tblStyle w:val="Table8"/>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 Statistics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8591" cy="1184325"/>
                  <wp:effectExtent b="0" l="0" r="0" t="0"/>
                  <wp:docPr id="10" name="image16.png"/>
                  <a:graphic>
                    <a:graphicData uri="http://schemas.openxmlformats.org/drawingml/2006/picture">
                      <pic:pic>
                        <pic:nvPicPr>
                          <pic:cNvPr id="0" name="image16.png"/>
                          <pic:cNvPicPr preferRelativeResize="0"/>
                        </pic:nvPicPr>
                        <pic:blipFill>
                          <a:blip r:embed="rId24"/>
                          <a:srcRect b="19538" l="10078" r="9133" t="52410"/>
                          <a:stretch>
                            <a:fillRect/>
                          </a:stretch>
                        </pic:blipFill>
                        <pic:spPr>
                          <a:xfrm>
                            <a:off x="0" y="0"/>
                            <a:ext cx="6098591" cy="1184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1">
      <w:pPr>
        <w:spacing w:after="240" w:before="240" w:lineRule="auto"/>
        <w:rPr>
          <w:rFonts w:ascii="Times New Roman" w:cs="Times New Roman" w:eastAsia="Times New Roman" w:hAnsi="Times New Roman"/>
          <w:sz w:val="24"/>
          <w:szCs w:val="24"/>
        </w:rPr>
      </w:pPr>
      <w:r w:rsidDel="00000000" w:rsidR="00000000" w:rsidRPr="00000000">
        <w:rPr>
          <w:rtl w:val="0"/>
        </w:rPr>
      </w:r>
    </w:p>
    <w:tbl>
      <w:tblPr>
        <w:tblStyle w:val="Table9"/>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Forecast Plot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6080" cy="1383238"/>
                  <wp:effectExtent b="0" l="0" r="0" t="0"/>
                  <wp:docPr id="1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926080" cy="13832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26080" cy="1398629"/>
                  <wp:effectExtent b="0" l="0" r="0" t="0"/>
                  <wp:docPr id="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926080" cy="139862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1                                                                   Model 2</w:t>
            </w:r>
          </w:p>
        </w:tc>
      </w:tr>
    </w:tbl>
    <w:p w:rsidR="00000000" w:rsidDel="00000000" w:rsidP="00000000" w:rsidRDefault="00000000" w:rsidRPr="00000000" w14:paraId="00000075">
      <w:pPr>
        <w:spacing w:after="240" w:before="240" w:lineRule="auto"/>
        <w:rPr/>
      </w:pPr>
      <w:r w:rsidDel="00000000" w:rsidR="00000000" w:rsidRPr="00000000">
        <w:rPr>
          <w:rFonts w:ascii="Times New Roman" w:cs="Times New Roman" w:eastAsia="Times New Roman" w:hAnsi="Times New Roman"/>
          <w:sz w:val="24"/>
          <w:szCs w:val="24"/>
          <w:rtl w:val="0"/>
        </w:rPr>
        <w:t xml:space="preserve">Penalizing for complexity, SBC and AIC indicate Model 1 is a better choice. Interestingly, forecasts for both models show very different outcomes: Model 1 has a more moderate prediction for post-COVID unemployment rate, while Model 2 is offering another spike.</w:t>
      </w:r>
      <w:r w:rsidDel="00000000" w:rsidR="00000000" w:rsidRPr="00000000">
        <w:rPr>
          <w:rtl w:val="0"/>
        </w:rPr>
      </w:r>
    </w:p>
    <w:p w:rsidR="00000000" w:rsidDel="00000000" w:rsidP="00000000" w:rsidRDefault="00000000" w:rsidRPr="00000000" w14:paraId="00000076">
      <w:pPr>
        <w:pStyle w:val="Heading2"/>
        <w:spacing w:line="360" w:lineRule="auto"/>
        <w:rPr/>
      </w:pPr>
      <w:bookmarkStart w:colFirst="0" w:colLast="0" w:name="_heading=h.b6skop123m1d" w:id="12"/>
      <w:bookmarkEnd w:id="12"/>
      <w:r w:rsidDel="00000000" w:rsidR="00000000" w:rsidRPr="00000000">
        <w:rPr>
          <w:rtl w:val="0"/>
        </w:rPr>
        <w:t xml:space="preserve">Results</w:t>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Evaluating Model 1 and Model 2 side by side, we believe Model 1 delivers better results and will assist decision-makers in a more comprehensive, encompassing manner than Model 2. </w:t>
      </w:r>
    </w:p>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Model 1 has less parameters and is therefore less complex to achieve lower SBC and AIC. It mainly relies on irregularity modeling to capture the unemployment rate time series across decades and events. </w:t>
      </w:r>
    </w:p>
    <w:p w:rsidR="00000000" w:rsidDel="00000000" w:rsidP="00000000" w:rsidRDefault="00000000" w:rsidRPr="00000000" w14:paraId="000000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Model 1 incorporates a longer time series and is therefore more informative for discerning the unemployment rate as a partner to and consequence of external events or fiscal actions. </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t>
      </w:r>
      <w:r w:rsidDel="00000000" w:rsidR="00000000" w:rsidRPr="00000000">
        <w:rPr>
          <w:rFonts w:ascii="Times New Roman" w:cs="Times New Roman" w:eastAsia="Times New Roman" w:hAnsi="Times New Roman"/>
          <w:sz w:val="24"/>
          <w:szCs w:val="24"/>
          <w:rtl w:val="0"/>
        </w:rPr>
        <w:t xml:space="preserve">the forecast of the unemployment rate in the next five years is more reasonable in Model 1 than Model 2. COVID-19 is an abrupt event and the upward slope is much steeper and extreme here than in nearly any previous event; however, history shows that the unemployment rate returns to more moderate levels gradually once the event is complete.</w:t>
      </w:r>
    </w:p>
    <w:p w:rsidR="00000000" w:rsidDel="00000000" w:rsidP="00000000" w:rsidRDefault="00000000" w:rsidRPr="00000000" w14:paraId="0000007B">
      <w:pPr>
        <w:pStyle w:val="Heading2"/>
        <w:spacing w:after="240" w:before="240" w:lineRule="auto"/>
        <w:rPr/>
      </w:pPr>
      <w:bookmarkStart w:colFirst="0" w:colLast="0" w:name="_heading=h.n1sxnu6krbb8" w:id="13"/>
      <w:bookmarkEnd w:id="13"/>
      <w:r w:rsidDel="00000000" w:rsidR="00000000" w:rsidRPr="00000000">
        <w:rPr>
          <w:rtl w:val="0"/>
        </w:rPr>
        <w:t xml:space="preserve">Conclusions and Recommendations</w:t>
        <w:tab/>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unemployment rate is accepted to be a derivative of many factors. Therefore, to improve model accuracy, we believe that in addition to the trend, seasonality and critical events, other considerations, especially leading indicators for unemployment and the time horizon for additional variables are among the keys to forecasting unemployment rate.</w:t>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Specifically:</w:t>
      </w:r>
    </w:p>
    <w:p w:rsidR="00000000" w:rsidDel="00000000" w:rsidP="00000000" w:rsidRDefault="00000000" w:rsidRPr="00000000" w14:paraId="0000007E">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Appropriate interventions. </w:t>
      </w:r>
      <w:r w:rsidDel="00000000" w:rsidR="00000000" w:rsidRPr="00000000">
        <w:rPr>
          <w:rFonts w:ascii="Times New Roman" w:cs="Times New Roman" w:eastAsia="Times New Roman" w:hAnsi="Times New Roman"/>
          <w:sz w:val="24"/>
          <w:szCs w:val="24"/>
          <w:rtl w:val="0"/>
        </w:rPr>
        <w:t xml:space="preserve">Events typically disrupt any trend or seasonality underlying the series, and the inclination is to include them as interventions to “fix” the series. However, attempting to include all events does not always add to the model, as was the case with historical events across the unemployment rate. </w:t>
      </w:r>
    </w:p>
    <w:p w:rsidR="00000000" w:rsidDel="00000000" w:rsidP="00000000" w:rsidRDefault="00000000" w:rsidRPr="00000000" w14:paraId="0000007F">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Regressor variables. </w:t>
      </w:r>
      <w:r w:rsidDel="00000000" w:rsidR="00000000" w:rsidRPr="00000000">
        <w:rPr>
          <w:rFonts w:ascii="Times New Roman" w:cs="Times New Roman" w:eastAsia="Times New Roman" w:hAnsi="Times New Roman"/>
          <w:sz w:val="24"/>
          <w:szCs w:val="24"/>
          <w:rtl w:val="0"/>
        </w:rPr>
        <w:t xml:space="preserve"> Although in our analysis adding regressors did not produce a better model, we believe seeking out strong, informative and complete regressors will improve the accuracy of the model and future projections. This is especially true for variables which are accepted to be impacted by other variables, such as unemployment rate.</w:t>
      </w:r>
    </w:p>
    <w:p w:rsidR="00000000" w:rsidDel="00000000" w:rsidP="00000000" w:rsidRDefault="00000000" w:rsidRPr="00000000" w14:paraId="00000080">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Domain experts.</w:t>
      </w:r>
      <w:r w:rsidDel="00000000" w:rsidR="00000000" w:rsidRPr="00000000">
        <w:rPr>
          <w:rFonts w:ascii="Times New Roman" w:cs="Times New Roman" w:eastAsia="Times New Roman" w:hAnsi="Times New Roman"/>
          <w:sz w:val="24"/>
          <w:szCs w:val="24"/>
          <w:rtl w:val="0"/>
        </w:rPr>
        <w:t xml:space="preserve"> Domain knowledge and i</w:t>
      </w:r>
      <w:r w:rsidDel="00000000" w:rsidR="00000000" w:rsidRPr="00000000">
        <w:rPr>
          <w:rFonts w:ascii="Times New Roman" w:cs="Times New Roman" w:eastAsia="Times New Roman" w:hAnsi="Times New Roman"/>
          <w:sz w:val="24"/>
          <w:szCs w:val="24"/>
          <w:rtl w:val="0"/>
        </w:rPr>
        <w:t xml:space="preserve">ntuition can assist both with identifying appropriate intuition and regressor variables, as well as validate the model’s prediction for reasonableness. For example, when evaluating the forecast for post-COVID event, domain expert may be able to compile leading signals from the markets to hypothesize an economic downturn and resulting jump rather than moderately falling unemployment rate, which would make our Model 2 more appropriate.</w:t>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conditions for an improved labor market and manage unemployment more effectively, especially during downturns, we make the following suggestions to policymakers:</w:t>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Change fiscal policy</w:t>
      </w:r>
      <w:r w:rsidDel="00000000" w:rsidR="00000000" w:rsidRPr="00000000">
        <w:rPr>
          <w:rFonts w:ascii="Times New Roman" w:cs="Times New Roman" w:eastAsia="Times New Roman" w:hAnsi="Times New Roman"/>
          <w:sz w:val="24"/>
          <w:szCs w:val="24"/>
          <w:rtl w:val="0"/>
        </w:rPr>
        <w:t xml:space="preserve">: The most direct and powerful way to create jobs quickly is to change fiscal policy. </w:t>
      </w:r>
      <w:r w:rsidDel="00000000" w:rsidR="00000000" w:rsidRPr="00000000">
        <w:rPr>
          <w:rFonts w:ascii="Times New Roman" w:cs="Times New Roman" w:eastAsia="Times New Roman" w:hAnsi="Times New Roman"/>
          <w:sz w:val="24"/>
          <w:szCs w:val="24"/>
          <w:rtl w:val="0"/>
        </w:rPr>
        <w:t xml:space="preserve">In a recession, resources (both capital and labor) are idle. Therefore, </w:t>
      </w:r>
      <w:r w:rsidDel="00000000" w:rsidR="00000000" w:rsidRPr="00000000">
        <w:rPr>
          <w:rFonts w:ascii="Times New Roman" w:cs="Times New Roman" w:eastAsia="Times New Roman" w:hAnsi="Times New Roman"/>
          <w:sz w:val="24"/>
          <w:szCs w:val="24"/>
          <w:rtl w:val="0"/>
        </w:rPr>
        <w:t xml:space="preserve">Government can change the level of taxes or government spending to boost aggregate demand and create more jobs.</w:t>
      </w:r>
    </w:p>
    <w:p w:rsidR="00000000" w:rsidDel="00000000" w:rsidP="00000000" w:rsidRDefault="00000000" w:rsidRPr="00000000" w14:paraId="00000085">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 an expansionary monetary policy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 reducing the federal funds rate and buying US Treasury and mortgage-backed securities on the open market, the Federal Reserve increases the supply of money in the economy. These tactics can spur businesses to borrow money to buy capital equipment and hire more workers.</w:t>
      </w:r>
    </w:p>
    <w:p w:rsidR="00000000" w:rsidDel="00000000" w:rsidP="00000000" w:rsidRDefault="00000000" w:rsidRPr="00000000" w14:paraId="00000086">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Provide education and training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Funding education </w:t>
      </w:r>
      <w:r w:rsidDel="00000000" w:rsidR="00000000" w:rsidRPr="00000000">
        <w:rPr>
          <w:rFonts w:ascii="Times New Roman" w:cs="Times New Roman" w:eastAsia="Times New Roman" w:hAnsi="Times New Roman"/>
          <w:sz w:val="24"/>
          <w:szCs w:val="24"/>
          <w:rtl w:val="0"/>
        </w:rPr>
        <w:t xml:space="preserve">is also an effective unemployment solution. Higher levels of education increase the chance an unemployed person will emerge with a comparable wage and reduce the time required to find new employment. By providing professional vocational training and education, the unemployed individual can successfully navigate the re-employment market.</w:t>
      </w:r>
      <w:r w:rsidDel="00000000" w:rsidR="00000000" w:rsidRPr="00000000">
        <w:rPr>
          <w:rtl w:val="0"/>
        </w:rPr>
      </w:r>
    </w:p>
    <w:p w:rsidR="00000000" w:rsidDel="00000000" w:rsidP="00000000" w:rsidRDefault="00000000" w:rsidRPr="00000000" w14:paraId="00000087">
      <w:pPr>
        <w:pStyle w:val="Heading2"/>
        <w:rPr/>
      </w:pPr>
      <w:bookmarkStart w:colFirst="0" w:colLast="0" w:name="_heading=h.a5x9hd5s2tx8" w:id="14"/>
      <w:bookmarkEnd w:id="14"/>
      <w:r w:rsidDel="00000000" w:rsidR="00000000" w:rsidRPr="00000000">
        <w:rPr>
          <w:rtl w:val="0"/>
        </w:rPr>
      </w:r>
    </w:p>
    <w:p w:rsidR="00000000" w:rsidDel="00000000" w:rsidP="00000000" w:rsidRDefault="00000000" w:rsidRPr="00000000" w14:paraId="00000088">
      <w:pPr>
        <w:pStyle w:val="Heading2"/>
        <w:rPr/>
      </w:pPr>
      <w:bookmarkStart w:colFirst="0" w:colLast="0" w:name="_heading=h.1hu2iw9wfngu" w:id="15"/>
      <w:bookmarkEnd w:id="15"/>
      <w:r w:rsidDel="00000000" w:rsidR="00000000" w:rsidRPr="00000000">
        <w:rPr>
          <w:rtl w:val="0"/>
        </w:rPr>
      </w:r>
    </w:p>
    <w:p w:rsidR="00000000" w:rsidDel="00000000" w:rsidP="00000000" w:rsidRDefault="00000000" w:rsidRPr="00000000" w14:paraId="00000089">
      <w:pPr>
        <w:pStyle w:val="Heading2"/>
        <w:rPr/>
      </w:pPr>
      <w:bookmarkStart w:colFirst="0" w:colLast="0" w:name="_heading=h.v1q1fkfaqeyl" w:id="16"/>
      <w:bookmarkEnd w:id="16"/>
      <w:r w:rsidDel="00000000" w:rsidR="00000000" w:rsidRPr="00000000">
        <w:rPr>
          <w:rtl w:val="0"/>
        </w:rPr>
      </w:r>
    </w:p>
    <w:p w:rsidR="00000000" w:rsidDel="00000000" w:rsidP="00000000" w:rsidRDefault="00000000" w:rsidRPr="00000000" w14:paraId="0000008A">
      <w:pPr>
        <w:pStyle w:val="Heading2"/>
        <w:rPr/>
      </w:pPr>
      <w:bookmarkStart w:colFirst="0" w:colLast="0" w:name="_heading=h.k50ipe3z3e1h" w:id="17"/>
      <w:bookmarkEnd w:id="17"/>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rPr/>
      </w:pPr>
      <w:bookmarkStart w:colFirst="0" w:colLast="0" w:name="_heading=h.5io583xa2fjt" w:id="18"/>
      <w:bookmarkEnd w:id="18"/>
      <w:r w:rsidDel="00000000" w:rsidR="00000000" w:rsidRPr="00000000">
        <w:rPr>
          <w:rtl w:val="0"/>
        </w:rPr>
        <w:t xml:space="preserve">References</w:t>
      </w:r>
    </w:p>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 Bureau of Labor Statistics, Unemployment Rate [UNRATENSA], retrieved from FRED, Federal Reserve Bank of St. Louis</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color w:val="1155cc"/>
          <w:sz w:val="24"/>
          <w:szCs w:val="24"/>
          <w:u w:val="single"/>
          <w:rtl w:val="0"/>
        </w:rPr>
        <w:t xml:space="preserve">https://fred.stlouisfed.org/series/UNRATENSA</w:t>
      </w:r>
      <w:r w:rsidDel="00000000" w:rsidR="00000000" w:rsidRPr="00000000">
        <w:rPr>
          <w:rFonts w:ascii="Times New Roman" w:cs="Times New Roman" w:eastAsia="Times New Roman" w:hAnsi="Times New Roman"/>
          <w:sz w:val="24"/>
          <w:szCs w:val="24"/>
          <w:rtl w:val="0"/>
        </w:rPr>
        <w:t xml:space="preserve">, March 19, 2021.</w:t>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U.S. Bureau of Labor Statistics, Job Openings: Total Nonfarm [JTSJOL], retrieved from FRED, Federal Reserve Bank of St. Louis; </w:t>
      </w:r>
      <w:hyperlink r:id="rId27">
        <w:r w:rsidDel="00000000" w:rsidR="00000000" w:rsidRPr="00000000">
          <w:rPr>
            <w:rFonts w:ascii="Times New Roman" w:cs="Times New Roman" w:eastAsia="Times New Roman" w:hAnsi="Times New Roman"/>
            <w:color w:val="1155cc"/>
            <w:sz w:val="24"/>
            <w:szCs w:val="24"/>
            <w:u w:val="single"/>
            <w:rtl w:val="0"/>
          </w:rPr>
          <w:t xml:space="preserve">https://fred.stlouisfed.org/series/JTSJOL</w:t>
        </w:r>
      </w:hyperlink>
      <w:r w:rsidDel="00000000" w:rsidR="00000000" w:rsidRPr="00000000">
        <w:rPr>
          <w:rFonts w:ascii="Times New Roman" w:cs="Times New Roman" w:eastAsia="Times New Roman" w:hAnsi="Times New Roman"/>
          <w:sz w:val="24"/>
          <w:szCs w:val="24"/>
          <w:rtl w:val="0"/>
        </w:rPr>
        <w:t xml:space="preserve">, March 19, 2021.</w:t>
      </w:r>
      <w:r w:rsidDel="00000000" w:rsidR="00000000" w:rsidRPr="00000000">
        <w:rPr>
          <w:rtl w:val="0"/>
        </w:rPr>
      </w:r>
    </w:p>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U.S. Employment and Training Administration, Initial Claims [ICSA], retrieved from FRED, Federal Reserve Bank of St. Louis; </w:t>
      </w:r>
      <w:r w:rsidDel="00000000" w:rsidR="00000000" w:rsidRPr="00000000">
        <w:rPr>
          <w:rFonts w:ascii="Times New Roman" w:cs="Times New Roman" w:eastAsia="Times New Roman" w:hAnsi="Times New Roman"/>
          <w:color w:val="1155cc"/>
          <w:sz w:val="24"/>
          <w:szCs w:val="24"/>
          <w:u w:val="single"/>
          <w:rtl w:val="0"/>
        </w:rPr>
        <w:t xml:space="preserve">https://fred.stlouisfed.org/series/ICSA</w:t>
      </w:r>
      <w:r w:rsidDel="00000000" w:rsidR="00000000" w:rsidRPr="00000000">
        <w:rPr>
          <w:rFonts w:ascii="Times New Roman" w:cs="Times New Roman" w:eastAsia="Times New Roman" w:hAnsi="Times New Roman"/>
          <w:sz w:val="24"/>
          <w:szCs w:val="24"/>
          <w:rtl w:val="0"/>
        </w:rPr>
        <w:t xml:space="preserve">, March 19, 2021.</w:t>
      </w:r>
    </w:p>
    <w:p w:rsidR="00000000" w:rsidDel="00000000" w:rsidP="00000000" w:rsidRDefault="00000000" w:rsidRPr="00000000" w14:paraId="000000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Dow Jones Industrial Index [DJI], historical data scraped and available for download at: </w:t>
      </w:r>
      <w:hyperlink r:id="rId28">
        <w:r w:rsidDel="00000000" w:rsidR="00000000" w:rsidRPr="00000000">
          <w:rPr>
            <w:rFonts w:ascii="Times New Roman" w:cs="Times New Roman" w:eastAsia="Times New Roman" w:hAnsi="Times New Roman"/>
            <w:color w:val="1155cc"/>
            <w:sz w:val="24"/>
            <w:szCs w:val="24"/>
            <w:u w:val="single"/>
            <w:rtl w:val="0"/>
          </w:rPr>
          <w:t xml:space="preserve">https://stooq.com/q/?s=%5edji</w:t>
        </w:r>
      </w:hyperlink>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U.S. Inflation Calculator, Consumer Price Index [CPI], released by </w:t>
      </w:r>
      <w:r w:rsidDel="00000000" w:rsidR="00000000" w:rsidRPr="00000000">
        <w:rPr>
          <w:rFonts w:ascii="Times New Roman" w:cs="Times New Roman" w:eastAsia="Times New Roman" w:hAnsi="Times New Roman"/>
          <w:sz w:val="24"/>
          <w:szCs w:val="24"/>
          <w:highlight w:val="white"/>
          <w:rtl w:val="0"/>
        </w:rPr>
        <w:t xml:space="preserve">U.S. Department of Labor Bureau of Labor Statistic and compiled by US Inflation Calculator resource for ease of use; </w:t>
      </w:r>
      <w:hyperlink r:id="rId29">
        <w:r w:rsidDel="00000000" w:rsidR="00000000" w:rsidRPr="00000000">
          <w:rPr>
            <w:rFonts w:ascii="Times New Roman" w:cs="Times New Roman" w:eastAsia="Times New Roman" w:hAnsi="Times New Roman"/>
            <w:color w:val="1155cc"/>
            <w:sz w:val="24"/>
            <w:szCs w:val="24"/>
            <w:u w:val="single"/>
            <w:rtl w:val="0"/>
          </w:rPr>
          <w:t xml:space="preserve">https://www.usinflationcalculator.com/inflation/consumer-price-index-and-annual-percent-changes-from-1913-to-2008/</w:t>
        </w:r>
      </w:hyperlink>
      <w:r w:rsidDel="00000000" w:rsidR="00000000" w:rsidRPr="00000000">
        <w:rPr>
          <w:rFonts w:ascii="Times New Roman" w:cs="Times New Roman" w:eastAsia="Times New Roman" w:hAnsi="Times New Roman"/>
          <w:sz w:val="24"/>
          <w:szCs w:val="24"/>
          <w:rtl w:val="0"/>
        </w:rPr>
        <w:t xml:space="preserve">, April 13, 2021.</w:t>
      </w:r>
      <w:r w:rsidDel="00000000" w:rsidR="00000000" w:rsidRPr="00000000">
        <w:rPr>
          <w:rtl w:val="0"/>
        </w:rPr>
      </w:r>
    </w:p>
    <w:sectPr>
      <w:footerReference r:id="rId30" w:type="default"/>
      <w:footerReference r:id="rId31" w:type="first"/>
      <w:pgSz w:h="16834" w:w="11909" w:orient="portrait"/>
      <w:pgMar w:bottom="1080" w:top="1080" w:left="1080" w:right="108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sz w:val="16"/>
        <w:szCs w:val="16"/>
      </w:rPr>
    </w:pPr>
    <w:r w:rsidDel="00000000" w:rsidR="00000000" w:rsidRPr="00000000">
      <w:rPr>
        <w:sz w:val="16"/>
        <w:szCs w:val="16"/>
        <w:rtl w:val="0"/>
      </w:rPr>
      <w:t xml:space="preserve">OPIM 5671 - Team 4 </w:t>
      <w:tab/>
      <w:tab/>
      <w:tab/>
      <w:tab/>
      <w:tab/>
      <w:tab/>
      <w:tab/>
      <w:tab/>
      <w:tab/>
      <w:tab/>
      <w:tab/>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rPr>
        <w:sz w:val="16"/>
        <w:szCs w:val="1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top w:w="100.0" w:type="dxa"/>
        <w:left w:w="100.0" w:type="dxa"/>
        <w:bottom w:w="100.0" w:type="dxa"/>
        <w:right w:w="100.0" w:type="dxa"/>
      </w:tblCellMar>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tblPr>
      <w:tblStyleRowBandSize w:val="1"/>
      <w:tblStyleColBandSize w:val="1"/>
      <w:tblCellMar>
        <w:top w:w="100.0" w:type="dxa"/>
        <w:left w:w="100.0" w:type="dxa"/>
        <w:bottom w:w="100.0" w:type="dxa"/>
        <w:right w:w="100.0" w:type="dxa"/>
      </w:tblCellMar>
    </w:tblPr>
  </w:style>
  <w:style w:type="table" w:styleId="afff6" w:customStyle="1">
    <w:basedOn w:val="TableNormal"/>
    <w:tblPr>
      <w:tblStyleRowBandSize w:val="1"/>
      <w:tblStyleColBandSize w:val="1"/>
      <w:tblCellMar>
        <w:top w:w="100.0" w:type="dxa"/>
        <w:left w:w="100.0" w:type="dxa"/>
        <w:bottom w:w="100.0" w:type="dxa"/>
        <w:right w:w="100.0" w:type="dxa"/>
      </w:tblCellMar>
    </w:tblPr>
  </w:style>
  <w:style w:type="table" w:styleId="afff7" w:customStyle="1">
    <w:basedOn w:val="TableNormal"/>
    <w:tblPr>
      <w:tblStyleRowBandSize w:val="1"/>
      <w:tblStyleColBandSize w:val="1"/>
      <w:tblCellMar>
        <w:top w:w="100.0" w:type="dxa"/>
        <w:left w:w="100.0" w:type="dxa"/>
        <w:bottom w:w="100.0" w:type="dxa"/>
        <w:right w:w="100.0" w:type="dxa"/>
      </w:tblCellMar>
    </w:tbl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table" w:styleId="afffb" w:customStyle="1">
    <w:basedOn w:val="TableNormal"/>
    <w:tblPr>
      <w:tblStyleRowBandSize w:val="1"/>
      <w:tblStyleColBandSize w:val="1"/>
      <w:tblCellMar>
        <w:top w:w="100.0" w:type="dxa"/>
        <w:left w:w="100.0" w:type="dxa"/>
        <w:bottom w:w="100.0" w:type="dxa"/>
        <w:right w:w="100.0" w:type="dxa"/>
      </w:tblCellMar>
    </w:tblPr>
  </w:style>
  <w:style w:type="table" w:styleId="afffc" w:customStyle="1">
    <w:basedOn w:val="TableNormal"/>
    <w:tblPr>
      <w:tblStyleRowBandSize w:val="1"/>
      <w:tblStyleColBandSize w:val="1"/>
      <w:tblCellMar>
        <w:top w:w="100.0" w:type="dxa"/>
        <w:left w:w="100.0" w:type="dxa"/>
        <w:bottom w:w="100.0" w:type="dxa"/>
        <w:right w:w="100.0" w:type="dxa"/>
      </w:tblCellMar>
    </w:tblPr>
  </w:style>
  <w:style w:type="table" w:styleId="afffd" w:customStyle="1">
    <w:basedOn w:val="TableNormal"/>
    <w:tblPr>
      <w:tblStyleRowBandSize w:val="1"/>
      <w:tblStyleColBandSize w:val="1"/>
      <w:tblCellMar>
        <w:top w:w="100.0" w:type="dxa"/>
        <w:left w:w="100.0" w:type="dxa"/>
        <w:bottom w:w="100.0" w:type="dxa"/>
        <w:right w:w="100.0" w:type="dxa"/>
      </w:tblCellMar>
    </w:tblPr>
  </w:style>
  <w:style w:type="table" w:styleId="afffe" w:customStyle="1">
    <w:basedOn w:val="TableNormal"/>
    <w:tblPr>
      <w:tblStyleRowBandSize w:val="1"/>
      <w:tblStyleColBandSize w:val="1"/>
      <w:tblCellMar>
        <w:top w:w="100.0" w:type="dxa"/>
        <w:left w:w="100.0" w:type="dxa"/>
        <w:bottom w:w="100.0" w:type="dxa"/>
        <w:right w:w="100.0" w:type="dxa"/>
      </w:tblCellMar>
    </w:tblPr>
  </w:style>
  <w:style w:type="table" w:styleId="affff" w:customStyle="1">
    <w:basedOn w:val="TableNormal"/>
    <w:tblPr>
      <w:tblStyleRowBandSize w:val="1"/>
      <w:tblStyleColBandSize w:val="1"/>
      <w:tblCellMar>
        <w:top w:w="100.0" w:type="dxa"/>
        <w:left w:w="100.0" w:type="dxa"/>
        <w:bottom w:w="100.0" w:type="dxa"/>
        <w:right w:w="100.0" w:type="dxa"/>
      </w:tblCellMar>
    </w:tblPr>
  </w:style>
  <w:style w:type="table" w:styleId="affff0" w:customStyle="1">
    <w:basedOn w:val="TableNormal"/>
    <w:tblPr>
      <w:tblStyleRowBandSize w:val="1"/>
      <w:tblStyleColBandSize w:val="1"/>
      <w:tblCellMar>
        <w:top w:w="100.0" w:type="dxa"/>
        <w:left w:w="100.0" w:type="dxa"/>
        <w:bottom w:w="100.0" w:type="dxa"/>
        <w:right w:w="100.0" w:type="dxa"/>
      </w:tblCellMar>
    </w:tblPr>
  </w:style>
  <w:style w:type="table" w:styleId="affff1" w:customStyle="1">
    <w:basedOn w:val="TableNormal"/>
    <w:tblPr>
      <w:tblStyleRowBandSize w:val="1"/>
      <w:tblStyleColBandSize w:val="1"/>
      <w:tblCellMar>
        <w:top w:w="100.0" w:type="dxa"/>
        <w:left w:w="100.0" w:type="dxa"/>
        <w:bottom w:w="100.0" w:type="dxa"/>
        <w:right w:w="100.0" w:type="dxa"/>
      </w:tblCellMar>
    </w:tblPr>
  </w:style>
  <w:style w:type="table" w:styleId="affff2" w:customStyle="1">
    <w:basedOn w:val="TableNormal"/>
    <w:tblPr>
      <w:tblStyleRowBandSize w:val="1"/>
      <w:tblStyleColBandSize w:val="1"/>
      <w:tblCellMar>
        <w:top w:w="100.0" w:type="dxa"/>
        <w:left w:w="100.0" w:type="dxa"/>
        <w:bottom w:w="100.0" w:type="dxa"/>
        <w:right w:w="100.0" w:type="dxa"/>
      </w:tblCellMar>
    </w:tblPr>
  </w:style>
  <w:style w:type="table" w:styleId="affff3" w:customStyle="1">
    <w:basedOn w:val="TableNormal"/>
    <w:tblPr>
      <w:tblStyleRowBandSize w:val="1"/>
      <w:tblStyleColBandSize w:val="1"/>
      <w:tblCellMar>
        <w:top w:w="100.0" w:type="dxa"/>
        <w:left w:w="100.0" w:type="dxa"/>
        <w:bottom w:w="100.0" w:type="dxa"/>
        <w:right w:w="100.0" w:type="dxa"/>
      </w:tblCellMar>
    </w:tblPr>
  </w:style>
  <w:style w:type="table" w:styleId="affff4" w:customStyle="1">
    <w:basedOn w:val="TableNormal"/>
    <w:tblPr>
      <w:tblStyleRowBandSize w:val="1"/>
      <w:tblStyleColBandSize w:val="1"/>
      <w:tblCellMar>
        <w:top w:w="100.0" w:type="dxa"/>
        <w:left w:w="100.0" w:type="dxa"/>
        <w:bottom w:w="100.0" w:type="dxa"/>
        <w:right w:w="100.0" w:type="dxa"/>
      </w:tblCellMar>
    </w:tblPr>
  </w:style>
  <w:style w:type="table" w:styleId="affff5" w:customStyle="1">
    <w:basedOn w:val="TableNormal"/>
    <w:tblPr>
      <w:tblStyleRowBandSize w:val="1"/>
      <w:tblStyleColBandSize w:val="1"/>
      <w:tblCellMar>
        <w:top w:w="100.0" w:type="dxa"/>
        <w:left w:w="100.0" w:type="dxa"/>
        <w:bottom w:w="100.0" w:type="dxa"/>
        <w:right w:w="100.0" w:type="dxa"/>
      </w:tblCellMar>
    </w:tblPr>
  </w:style>
  <w:style w:type="table" w:styleId="affff6" w:customStyle="1">
    <w:basedOn w:val="TableNormal"/>
    <w:tblPr>
      <w:tblStyleRowBandSize w:val="1"/>
      <w:tblStyleColBandSize w:val="1"/>
      <w:tblCellMar>
        <w:top w:w="100.0" w:type="dxa"/>
        <w:left w:w="100.0" w:type="dxa"/>
        <w:bottom w:w="100.0" w:type="dxa"/>
        <w:right w:w="100.0" w:type="dxa"/>
      </w:tblCellMar>
    </w:tblPr>
  </w:style>
  <w:style w:type="table" w:styleId="affff7" w:customStyle="1">
    <w:basedOn w:val="TableNormal"/>
    <w:tblPr>
      <w:tblStyleRowBandSize w:val="1"/>
      <w:tblStyleColBandSize w:val="1"/>
      <w:tblCellMar>
        <w:top w:w="100.0" w:type="dxa"/>
        <w:left w:w="100.0" w:type="dxa"/>
        <w:bottom w:w="100.0" w:type="dxa"/>
        <w:right w:w="100.0" w:type="dxa"/>
      </w:tblCellMar>
    </w:tblPr>
  </w:style>
  <w:style w:type="table" w:styleId="affff8" w:customStyle="1">
    <w:basedOn w:val="TableNormal"/>
    <w:tblPr>
      <w:tblStyleRowBandSize w:val="1"/>
      <w:tblStyleColBandSize w:val="1"/>
      <w:tblCellMar>
        <w:top w:w="100.0" w:type="dxa"/>
        <w:left w:w="100.0" w:type="dxa"/>
        <w:bottom w:w="100.0" w:type="dxa"/>
        <w:right w:w="100.0" w:type="dxa"/>
      </w:tblCellMar>
    </w:tblPr>
  </w:style>
  <w:style w:type="table" w:styleId="affff9" w:customStyle="1">
    <w:basedOn w:val="TableNormal"/>
    <w:tblPr>
      <w:tblStyleRowBandSize w:val="1"/>
      <w:tblStyleColBandSize w:val="1"/>
      <w:tblCellMar>
        <w:top w:w="100.0" w:type="dxa"/>
        <w:left w:w="100.0" w:type="dxa"/>
        <w:bottom w:w="100.0" w:type="dxa"/>
        <w:right w:w="100.0" w:type="dxa"/>
      </w:tblCellMar>
    </w:tblPr>
  </w:style>
  <w:style w:type="table" w:styleId="affffa" w:customStyle="1">
    <w:basedOn w:val="TableNormal"/>
    <w:tblPr>
      <w:tblStyleRowBandSize w:val="1"/>
      <w:tblStyleColBandSize w:val="1"/>
      <w:tblCellMar>
        <w:top w:w="100.0" w:type="dxa"/>
        <w:left w:w="100.0" w:type="dxa"/>
        <w:bottom w:w="100.0" w:type="dxa"/>
        <w:right w:w="100.0" w:type="dxa"/>
      </w:tblCellMar>
    </w:tblPr>
  </w:style>
  <w:style w:type="table" w:styleId="affffb" w:customStyle="1">
    <w:basedOn w:val="TableNormal"/>
    <w:tblPr>
      <w:tblStyleRowBandSize w:val="1"/>
      <w:tblStyleColBandSize w:val="1"/>
      <w:tblCellMar>
        <w:top w:w="100.0" w:type="dxa"/>
        <w:left w:w="100.0" w:type="dxa"/>
        <w:bottom w:w="100.0" w:type="dxa"/>
        <w:right w:w="100.0" w:type="dxa"/>
      </w:tblCellMar>
    </w:tblPr>
  </w:style>
  <w:style w:type="table" w:styleId="affffc" w:customStyle="1">
    <w:basedOn w:val="TableNormal"/>
    <w:tblPr>
      <w:tblStyleRowBandSize w:val="1"/>
      <w:tblStyleColBandSize w:val="1"/>
      <w:tblCellMar>
        <w:top w:w="100.0" w:type="dxa"/>
        <w:left w:w="100.0" w:type="dxa"/>
        <w:bottom w:w="100.0" w:type="dxa"/>
        <w:right w:w="100.0" w:type="dxa"/>
      </w:tblCellMar>
    </w:tblPr>
  </w:style>
  <w:style w:type="table" w:styleId="affffd" w:customStyle="1">
    <w:basedOn w:val="TableNormal"/>
    <w:tblPr>
      <w:tblStyleRowBandSize w:val="1"/>
      <w:tblStyleColBandSize w:val="1"/>
      <w:tblCellMar>
        <w:top w:w="100.0" w:type="dxa"/>
        <w:left w:w="100.0" w:type="dxa"/>
        <w:bottom w:w="100.0" w:type="dxa"/>
        <w:right w:w="100.0" w:type="dxa"/>
      </w:tblCellMar>
    </w:tblPr>
  </w:style>
  <w:style w:type="table" w:styleId="affffe" w:customStyle="1">
    <w:basedOn w:val="TableNormal"/>
    <w:tblPr>
      <w:tblStyleRowBandSize w:val="1"/>
      <w:tblStyleColBandSize w:val="1"/>
      <w:tblCellMar>
        <w:top w:w="100.0" w:type="dxa"/>
        <w:left w:w="100.0" w:type="dxa"/>
        <w:bottom w:w="100.0" w:type="dxa"/>
        <w:right w:w="100.0" w:type="dxa"/>
      </w:tblCellMar>
    </w:tblPr>
  </w:style>
  <w:style w:type="table" w:styleId="afffff" w:customStyle="1">
    <w:basedOn w:val="TableNormal"/>
    <w:tblPr>
      <w:tblStyleRowBandSize w:val="1"/>
      <w:tblStyleColBandSize w:val="1"/>
      <w:tblCellMar>
        <w:top w:w="100.0" w:type="dxa"/>
        <w:left w:w="100.0" w:type="dxa"/>
        <w:bottom w:w="100.0" w:type="dxa"/>
        <w:right w:w="100.0" w:type="dxa"/>
      </w:tblCellMar>
    </w:tblPr>
  </w:style>
  <w:style w:type="table" w:styleId="afffff0" w:customStyle="1">
    <w:basedOn w:val="TableNormal"/>
    <w:tblPr>
      <w:tblStyleRowBandSize w:val="1"/>
      <w:tblStyleColBandSize w:val="1"/>
      <w:tblCellMar>
        <w:top w:w="100.0" w:type="dxa"/>
        <w:left w:w="100.0" w:type="dxa"/>
        <w:bottom w:w="100.0" w:type="dxa"/>
        <w:right w:w="100.0" w:type="dxa"/>
      </w:tblCellMar>
    </w:tblPr>
  </w:style>
  <w:style w:type="table" w:styleId="afffff1" w:customStyle="1">
    <w:basedOn w:val="TableNormal"/>
    <w:tblPr>
      <w:tblStyleRowBandSize w:val="1"/>
      <w:tblStyleColBandSize w:val="1"/>
      <w:tblCellMar>
        <w:top w:w="100.0" w:type="dxa"/>
        <w:left w:w="100.0" w:type="dxa"/>
        <w:bottom w:w="100.0" w:type="dxa"/>
        <w:right w:w="100.0" w:type="dxa"/>
      </w:tblCellMar>
    </w:tblPr>
  </w:style>
  <w:style w:type="table" w:styleId="afffff2" w:customStyle="1">
    <w:basedOn w:val="TableNormal"/>
    <w:tblPr>
      <w:tblStyleRowBandSize w:val="1"/>
      <w:tblStyleColBandSize w:val="1"/>
      <w:tblCellMar>
        <w:top w:w="100.0" w:type="dxa"/>
        <w:left w:w="100.0" w:type="dxa"/>
        <w:bottom w:w="100.0" w:type="dxa"/>
        <w:right w:w="100.0" w:type="dxa"/>
      </w:tblCellMar>
    </w:tblPr>
  </w:style>
  <w:style w:type="table" w:styleId="afffff3" w:customStyle="1">
    <w:basedOn w:val="TableNormal"/>
    <w:tblPr>
      <w:tblStyleRowBandSize w:val="1"/>
      <w:tblStyleColBandSize w:val="1"/>
      <w:tblCellMar>
        <w:top w:w="100.0" w:type="dxa"/>
        <w:left w:w="100.0" w:type="dxa"/>
        <w:bottom w:w="100.0" w:type="dxa"/>
        <w:right w:w="100.0" w:type="dxa"/>
      </w:tblCellMar>
    </w:tblPr>
  </w:style>
  <w:style w:type="table" w:styleId="afffff4" w:customStyle="1">
    <w:basedOn w:val="TableNormal"/>
    <w:tblPr>
      <w:tblStyleRowBandSize w:val="1"/>
      <w:tblStyleColBandSize w:val="1"/>
      <w:tblCellMar>
        <w:top w:w="100.0" w:type="dxa"/>
        <w:left w:w="100.0" w:type="dxa"/>
        <w:bottom w:w="100.0" w:type="dxa"/>
        <w:right w:w="100.0" w:type="dxa"/>
      </w:tblCellMar>
    </w:tblPr>
  </w:style>
  <w:style w:type="table" w:styleId="afffff5" w:customStyle="1">
    <w:basedOn w:val="TableNormal"/>
    <w:tblPr>
      <w:tblStyleRowBandSize w:val="1"/>
      <w:tblStyleColBandSize w:val="1"/>
      <w:tblCellMar>
        <w:top w:w="100.0" w:type="dxa"/>
        <w:left w:w="100.0" w:type="dxa"/>
        <w:bottom w:w="100.0" w:type="dxa"/>
        <w:right w:w="100.0" w:type="dxa"/>
      </w:tblCellMar>
    </w:tblPr>
  </w:style>
  <w:style w:type="table" w:styleId="afffff6" w:customStyle="1">
    <w:basedOn w:val="TableNormal"/>
    <w:tblPr>
      <w:tblStyleRowBandSize w:val="1"/>
      <w:tblStyleColBandSize w:val="1"/>
      <w:tblCellMar>
        <w:top w:w="100.0" w:type="dxa"/>
        <w:left w:w="100.0" w:type="dxa"/>
        <w:bottom w:w="100.0" w:type="dxa"/>
        <w:right w:w="100.0" w:type="dxa"/>
      </w:tblCellMar>
    </w:tblPr>
  </w:style>
  <w:style w:type="table" w:styleId="afffff7" w:customStyle="1">
    <w:basedOn w:val="TableNormal"/>
    <w:tblPr>
      <w:tblStyleRowBandSize w:val="1"/>
      <w:tblStyleColBandSize w:val="1"/>
      <w:tblCellMar>
        <w:top w:w="100.0" w:type="dxa"/>
        <w:left w:w="100.0" w:type="dxa"/>
        <w:bottom w:w="100.0" w:type="dxa"/>
        <w:right w:w="100.0" w:type="dxa"/>
      </w:tblCellMar>
    </w:tblPr>
  </w:style>
  <w:style w:type="table" w:styleId="afffff8" w:customStyle="1">
    <w:basedOn w:val="TableNormal"/>
    <w:tblPr>
      <w:tblStyleRowBandSize w:val="1"/>
      <w:tblStyleColBandSize w:val="1"/>
      <w:tblCellMar>
        <w:top w:w="100.0" w:type="dxa"/>
        <w:left w:w="100.0" w:type="dxa"/>
        <w:bottom w:w="100.0" w:type="dxa"/>
        <w:right w:w="100.0" w:type="dxa"/>
      </w:tblCellMar>
    </w:tblPr>
  </w:style>
  <w:style w:type="table" w:styleId="afffff9" w:customStyle="1">
    <w:basedOn w:val="TableNormal"/>
    <w:tblPr>
      <w:tblStyleRowBandSize w:val="1"/>
      <w:tblStyleColBandSize w:val="1"/>
      <w:tblCellMar>
        <w:top w:w="100.0" w:type="dxa"/>
        <w:left w:w="100.0" w:type="dxa"/>
        <w:bottom w:w="100.0" w:type="dxa"/>
        <w:right w:w="100.0" w:type="dxa"/>
      </w:tblCellMar>
    </w:tblPr>
  </w:style>
  <w:style w:type="table" w:styleId="afffffa" w:customStyle="1">
    <w:basedOn w:val="TableNormal"/>
    <w:tblPr>
      <w:tblStyleRowBandSize w:val="1"/>
      <w:tblStyleColBandSize w:val="1"/>
      <w:tblCellMar>
        <w:top w:w="100.0" w:type="dxa"/>
        <w:left w:w="100.0" w:type="dxa"/>
        <w:bottom w:w="100.0" w:type="dxa"/>
        <w:right w:w="100.0" w:type="dxa"/>
      </w:tblCellMar>
    </w:tblPr>
  </w:style>
  <w:style w:type="table" w:styleId="afffffb" w:customStyle="1">
    <w:basedOn w:val="TableNormal"/>
    <w:tblPr>
      <w:tblStyleRowBandSize w:val="1"/>
      <w:tblStyleColBandSize w:val="1"/>
      <w:tblCellMar>
        <w:top w:w="100.0" w:type="dxa"/>
        <w:left w:w="100.0" w:type="dxa"/>
        <w:bottom w:w="100.0" w:type="dxa"/>
        <w:right w:w="100.0" w:type="dxa"/>
      </w:tblCellMar>
    </w:tblPr>
  </w:style>
  <w:style w:type="table" w:styleId="afffffc" w:customStyle="1">
    <w:basedOn w:val="TableNormal"/>
    <w:tblPr>
      <w:tblStyleRowBandSize w:val="1"/>
      <w:tblStyleColBandSize w:val="1"/>
      <w:tblCellMar>
        <w:top w:w="100.0" w:type="dxa"/>
        <w:left w:w="100.0" w:type="dxa"/>
        <w:bottom w:w="100.0" w:type="dxa"/>
        <w:right w:w="100.0" w:type="dxa"/>
      </w:tblCellMar>
    </w:tblPr>
  </w:style>
  <w:style w:type="table" w:styleId="afffffd" w:customStyle="1">
    <w:basedOn w:val="TableNormal"/>
    <w:tblPr>
      <w:tblStyleRowBandSize w:val="1"/>
      <w:tblStyleColBandSize w:val="1"/>
      <w:tblCellMar>
        <w:top w:w="100.0" w:type="dxa"/>
        <w:left w:w="100.0" w:type="dxa"/>
        <w:bottom w:w="100.0" w:type="dxa"/>
        <w:right w:w="100.0" w:type="dxa"/>
      </w:tblCellMar>
    </w:tblPr>
  </w:style>
  <w:style w:type="table" w:styleId="afffffe" w:customStyle="1">
    <w:basedOn w:val="TableNormal"/>
    <w:tblPr>
      <w:tblStyleRowBandSize w:val="1"/>
      <w:tblStyleColBandSize w:val="1"/>
      <w:tblCellMar>
        <w:top w:w="100.0" w:type="dxa"/>
        <w:left w:w="100.0" w:type="dxa"/>
        <w:bottom w:w="100.0" w:type="dxa"/>
        <w:right w:w="100.0" w:type="dxa"/>
      </w:tblCellMar>
    </w:tblPr>
  </w:style>
  <w:style w:type="table" w:styleId="affffff" w:customStyle="1">
    <w:basedOn w:val="TableNormal"/>
    <w:tblPr>
      <w:tblStyleRowBandSize w:val="1"/>
      <w:tblStyleColBandSize w:val="1"/>
      <w:tblCellMar>
        <w:top w:w="100.0" w:type="dxa"/>
        <w:left w:w="100.0" w:type="dxa"/>
        <w:bottom w:w="100.0" w:type="dxa"/>
        <w:right w:w="100.0" w:type="dxa"/>
      </w:tblCellMar>
    </w:tblPr>
  </w:style>
  <w:style w:type="table" w:styleId="affffff0" w:customStyle="1">
    <w:basedOn w:val="TableNormal"/>
    <w:tblPr>
      <w:tblStyleRowBandSize w:val="1"/>
      <w:tblStyleColBandSize w:val="1"/>
      <w:tblCellMar>
        <w:top w:w="100.0" w:type="dxa"/>
        <w:left w:w="100.0" w:type="dxa"/>
        <w:bottom w:w="100.0" w:type="dxa"/>
        <w:right w:w="100.0" w:type="dxa"/>
      </w:tblCellMar>
    </w:tblPr>
  </w:style>
  <w:style w:type="table" w:styleId="affffff1" w:customStyle="1">
    <w:basedOn w:val="TableNormal"/>
    <w:tblPr>
      <w:tblStyleRowBandSize w:val="1"/>
      <w:tblStyleColBandSize w:val="1"/>
      <w:tblCellMar>
        <w:top w:w="100.0" w:type="dxa"/>
        <w:left w:w="100.0" w:type="dxa"/>
        <w:bottom w:w="100.0" w:type="dxa"/>
        <w:right w:w="100.0" w:type="dxa"/>
      </w:tblCellMar>
    </w:tblPr>
  </w:style>
  <w:style w:type="table" w:styleId="affffff2"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4.png"/><Relationship Id="rId21" Type="http://schemas.openxmlformats.org/officeDocument/2006/relationships/image" Target="media/image13.png"/><Relationship Id="rId24" Type="http://schemas.openxmlformats.org/officeDocument/2006/relationships/image" Target="media/image1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6.png"/><Relationship Id="rId25" Type="http://schemas.openxmlformats.org/officeDocument/2006/relationships/image" Target="media/image12.png"/><Relationship Id="rId28" Type="http://schemas.openxmlformats.org/officeDocument/2006/relationships/hyperlink" Target="https://stooq.com/q/?s=%5edji" TargetMode="External"/><Relationship Id="rId27" Type="http://schemas.openxmlformats.org/officeDocument/2006/relationships/hyperlink" Target="https://fred.stlouisfed.org/series/JTSJO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usinflationcalculator.com/inflation/consumer-price-index-and-annual-percent-changes-from-1913-to-2008/" TargetMode="External"/><Relationship Id="rId7" Type="http://schemas.openxmlformats.org/officeDocument/2006/relationships/image" Target="media/image11.png"/><Relationship Id="rId8" Type="http://schemas.openxmlformats.org/officeDocument/2006/relationships/image" Target="media/image2.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image" Target="media/image17.png"/><Relationship Id="rId13" Type="http://schemas.openxmlformats.org/officeDocument/2006/relationships/image" Target="media/image14.png"/><Relationship Id="rId12" Type="http://schemas.openxmlformats.org/officeDocument/2006/relationships/image" Target="media/image8.png"/><Relationship Id="rId15" Type="http://schemas.openxmlformats.org/officeDocument/2006/relationships/image" Target="media/image15.png"/><Relationship Id="rId14" Type="http://schemas.openxmlformats.org/officeDocument/2006/relationships/image" Target="media/image20.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1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WwdsNieJH0FQip4bHFb5rKqGTg==">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2021-02-25T15:06:00Z</dcterms:created>
</cp:coreProperties>
</file>