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00e4224cbb2e1dca1b9cd85f55a451b8d31f5f"/>
    <w:p>
      <w:pPr>
        <w:pStyle w:val="Heading1"/>
      </w:pPr>
      <w:r>
        <w:t xml:space="preserve">Medicare Advantage Denials: the</w:t>
      </w:r>
      <w:r>
        <w:t xml:space="preserve"> </w:t>
      </w:r>
      <w:r>
        <w:rPr>
          <w:b/>
          <w:bCs/>
        </w:rPr>
        <w:t xml:space="preserve">151× shock</w:t>
      </w:r>
      <w:r>
        <w:t xml:space="preserve"> </w:t>
      </w:r>
      <w:r>
        <w:t xml:space="preserve">hiding in plain sight</w:t>
      </w:r>
    </w:p>
    <w:p>
      <w:pPr>
        <w:pStyle w:val="BlockText"/>
      </w:pPr>
      <w:r>
        <w:rPr>
          <w:b/>
          <w:bCs/>
        </w:rPr>
        <w:t xml:space="preserve">TL;DR</w:t>
      </w:r>
      <w:r>
        <w:t xml:space="preserve"> </w:t>
      </w:r>
      <w:r>
        <w:t xml:space="preserve">Half of America sees about four denials per beneficiary each year, yet a few states rack up more than forty. Pair that with higher hospital prices and you get the fastest, cleanest ROI lever in US health‑care operations.</w:t>
      </w:r>
    </w:p>
    <w:p>
      <w:r>
        <w:pict>
          <v:rect style="width:0;height:1.5pt" o:hralign="center" o:hrstd="t" o:hr="t"/>
        </w:pict>
      </w:r>
    </w:p>
    <w:bookmarkStart w:id="20" w:name="national-snapshot"/>
    <w:p>
      <w:pPr>
        <w:pStyle w:val="Heading3"/>
      </w:pPr>
      <w:r>
        <w:t xml:space="preserve">1 ▸ National snapshot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2023‑25 CMS 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Median</w:t>
            </w:r>
            <w:r>
              <w:t xml:space="preserve"> </w:t>
            </w:r>
            <w:r>
              <w:t xml:space="preserve">denials per MA enrollee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3.74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Mean</w:t>
            </w:r>
            <w:r>
              <w:t xml:space="preserve"> </w:t>
            </w:r>
            <w:r>
              <w:t xml:space="preserve">denials per MA enrollee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21.36</w:t>
            </w:r>
          </w:p>
        </w:tc>
      </w:tr>
    </w:tbl>
    <w:p>
      <w:pPr>
        <w:pStyle w:val="BodyText"/>
      </w:pPr>
      <w:r>
        <w:t xml:space="preserve">A handful of outlier states push the mean more than five times higher than the midpoint.</w:t>
      </w:r>
    </w:p>
    <w:p>
      <w:r>
        <w:pict>
          <v:rect style="width:0;height:1.5pt" o:hralign="center" o:hrstd="t" o:hr="t"/>
        </w:pict>
      </w:r>
    </w:p>
    <w:bookmarkEnd w:id="20"/>
    <w:bookmarkStart w:id="21" w:name="the-denial-divide"/>
    <w:p>
      <w:pPr>
        <w:pStyle w:val="Heading3"/>
      </w:pPr>
      <w:r>
        <w:t xml:space="preserve">2 ▸ The Denial Divide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Highest denials (per enrollee)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Lowest denials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Texas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42.44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Oregon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Alaska</w:t>
            </w:r>
          </w:p>
        </w:tc>
        <w:tc>
          <w:tcPr/>
          <w:p>
            <w:pPr>
              <w:pStyle w:val="Compact"/>
            </w:pPr>
            <w:r>
              <w:t xml:space="preserve">32.42</w:t>
            </w:r>
          </w:p>
        </w:tc>
        <w:tc>
          <w:tcPr/>
          <w:p>
            <w:pPr>
              <w:pStyle w:val="Compact"/>
            </w:pPr>
            <w:r>
              <w:t xml:space="preserve">Hawaii</w:t>
            </w:r>
          </w:p>
        </w:tc>
        <w:tc>
          <w:tcPr/>
          <w:p>
            <w:pPr>
              <w:pStyle w:val="Compac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Illinois</w:t>
            </w:r>
          </w:p>
        </w:tc>
        <w:tc>
          <w:tcPr/>
          <w:p>
            <w:pPr>
              <w:pStyle w:val="Compact"/>
            </w:pPr>
            <w:r>
              <w:t xml:space="preserve">24.35</w:t>
            </w:r>
          </w:p>
        </w:tc>
        <w:tc>
          <w:tcPr/>
          <w:p>
            <w:pPr>
              <w:pStyle w:val="Compact"/>
            </w:pPr>
            <w:r>
              <w:t xml:space="preserve">West Virginia</w:t>
            </w:r>
          </w:p>
        </w:tc>
        <w:tc>
          <w:tcPr/>
          <w:p>
            <w:pPr>
              <w:pStyle w:val="Compac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</w:pPr>
            <w:r>
              <w:t xml:space="preserve">15.36</w:t>
            </w:r>
          </w:p>
        </w:tc>
        <w:tc>
          <w:tcPr/>
          <w:p>
            <w:pPr>
              <w:pStyle w:val="Compact"/>
            </w:pPr>
            <w:r>
              <w:t xml:space="preserve">Michigan</w:t>
            </w:r>
          </w:p>
        </w:tc>
        <w:tc>
          <w:tcPr/>
          <w:p>
            <w:pPr>
              <w:pStyle w:val="Compac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</w:pPr>
            <w:r>
              <w:t xml:space="preserve">14.96</w:t>
            </w:r>
          </w:p>
        </w:tc>
        <w:tc>
          <w:tcPr/>
          <w:p>
            <w:pPr>
              <w:pStyle w:val="Compact"/>
            </w:pPr>
            <w:r>
              <w:t xml:space="preserve">Ohio</w:t>
            </w:r>
          </w:p>
        </w:tc>
        <w:tc>
          <w:tcPr/>
          <w:p>
            <w:pPr>
              <w:pStyle w:val="Compact"/>
            </w:pPr>
            <w:r>
              <w:t xml:space="preserve">1.39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facts</w:t>
      </w:r>
    </w:p>
    <w:p>
      <w:pPr>
        <w:pStyle w:val="Compact"/>
        <w:numPr>
          <w:ilvl w:val="0"/>
          <w:numId w:val="1001"/>
        </w:numPr>
      </w:pPr>
      <w:r>
        <w:t xml:space="preserve">A Texan MA member faces</w:t>
      </w:r>
      <w:r>
        <w:t xml:space="preserve"> </w:t>
      </w:r>
      <w:r>
        <w:rPr>
          <w:b/>
          <w:bCs/>
        </w:rPr>
        <w:t xml:space="preserve">151 ×</w:t>
      </w:r>
      <w:r>
        <w:t xml:space="preserve"> </w:t>
      </w:r>
      <w:r>
        <w:t xml:space="preserve">more denials than an Oregonian.</w:t>
      </w:r>
    </w:p>
    <w:p>
      <w:pPr>
        <w:pStyle w:val="Compact"/>
        <w:numPr>
          <w:ilvl w:val="0"/>
          <w:numId w:val="1001"/>
        </w:numPr>
      </w:pPr>
      <w:r>
        <w:t xml:space="preserve">Four of the five worst performers cluster in a South‑Midwest corridor (one focused go‑to‑market region).</w:t>
      </w:r>
    </w:p>
    <w:p>
      <w:pPr>
        <w:pStyle w:val="Compact"/>
        <w:numPr>
          <w:ilvl w:val="0"/>
          <w:numId w:val="1001"/>
        </w:numPr>
      </w:pPr>
      <w:r>
        <w:t xml:space="preserve">Low rates are attainable even in large populations: Ohio stays near 1.4 denials per enrollee.</w:t>
      </w:r>
    </w:p>
    <w:p>
      <w:r>
        <w:pict>
          <v:rect style="width:0;height:1.5pt" o:hralign="center" o:hrstd="t" o:hr="t"/>
        </w:pict>
      </w:r>
    </w:p>
    <w:bookmarkEnd w:id="21"/>
    <w:bookmarkStart w:id="22" w:name="spending-spread"/>
    <w:p>
      <w:pPr>
        <w:pStyle w:val="Heading3"/>
      </w:pPr>
      <w:r>
        <w:t xml:space="preserve">3 ▸ Spending spread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Episode cost gap vs US average*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Highest: Texas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+7.8 %</w:t>
            </w:r>
          </w:p>
        </w:tc>
        <w:tc>
          <w:tcPr/>
          <w:p>
            <w:pPr>
              <w:pStyle w:val="Compact"/>
            </w:pPr>
            <w:r>
              <w:t xml:space="preserve">Lowest: Oregon</w:t>
            </w:r>
          </w:p>
        </w:tc>
      </w:tr>
    </w:tbl>
    <w:p>
      <w:pPr>
        <w:pStyle w:val="BodyText"/>
      </w:pPr>
      <w:r>
        <w:rPr>
          <w:i/>
          <w:iCs/>
        </w:rPr>
        <w:t xml:space="preserve">A $26.5 k average inpatient stay becomes $28.6 k in Texas and $24.2 k in Oregon, a $4.4 k swing.</w:t>
      </w:r>
    </w:p>
    <w:p>
      <w:r>
        <w:pict>
          <v:rect style="width:0;height:1.5pt" o:hralign="center" o:hrstd="t" o:hr="t"/>
        </w:pict>
      </w:r>
    </w:p>
    <w:bookmarkEnd w:id="22"/>
    <w:bookmarkStart w:id="23" w:name="why-act-now"/>
    <w:p>
      <w:pPr>
        <w:pStyle w:val="Heading3"/>
      </w:pPr>
      <w:r>
        <w:t xml:space="preserve">4 ▸ Why act now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Process defect, not destiny.</w:t>
      </w:r>
      <w:r>
        <w:t xml:space="preserve"> </w:t>
      </w:r>
      <w:r>
        <w:t xml:space="preserve">Large states prove airtight documentation and edits keep denials low.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Margin boost.</w:t>
      </w:r>
      <w:r>
        <w:t xml:space="preserve"> </w:t>
      </w:r>
      <w:r>
        <w:t xml:space="preserve">Cutting denials and normalizing episode cost can release up to</w:t>
      </w:r>
      <w:r>
        <w:t xml:space="preserve"> </w:t>
      </w:r>
      <w:r>
        <w:rPr>
          <w:b/>
          <w:bCs/>
        </w:rPr>
        <w:t xml:space="preserve">eight percentage points</w:t>
      </w:r>
      <w:r>
        <w:t xml:space="preserve"> </w:t>
      </w:r>
      <w:r>
        <w:t xml:space="preserve">of operating margin.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Proven tools.</w:t>
      </w:r>
      <w:r>
        <w:t xml:space="preserve"> </w:t>
      </w:r>
      <w:r>
        <w:t xml:space="preserve">AI‑driven revenue‑cycle platforms already prevent more than 90 percent of avoidable denials in top‑quartile hospitals.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Bottom line</w:t>
      </w:r>
    </w:p>
    <w:p>
      <w:pPr>
        <w:pStyle w:val="BodyText"/>
      </w:pPr>
      <w:r>
        <w:t xml:space="preserve">Forty denials or four. What happens when every health system equips its revenue cycle to close that gap?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Sources: CMS Medicare Advantage Denials Public‑Use Files 2023‑25; CMS Hospital Spending per Episode Public‑Use Files 2023‑25.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2025-07-02T11:29:44Z</dcterms:created>
  <dcterms:modified xsi:type="dcterms:W3CDTF">2025-07-02T11:29:44Z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