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Figure Guide — LLM vs deterministic crop recommendation (MP, India)</w:t>
      </w:r>
    </w:p>
    <w:p>
      <w:r>
        <w:t xml:space="preserve">All figures are generated from a single derived table, </w:t>
      </w:r>
      <w:r>
        <w:rPr>
          <w:rFonts w:ascii="Consolas" w:hAnsi="Consolas"/>
          <w:sz w:val="18"/>
        </w:rPr>
        <w:t>eval/results/master_long.csv</w:t>
      </w:r>
      <w:r>
        <w:t xml:space="preserve"> (one row per</w:t>
      </w:r>
    </w:p>
    <w:p>
      <w:r>
        <w:t xml:space="preserve">scenario × model × condition × repeat, plus C3 rows), which is itself computed </w:t>
      </w:r>
      <w:r>
        <w:rPr>
          <w:b/>
        </w:rPr>
        <w:t>only</w:t>
      </w:r>
      <w:r>
        <w:t xml:space="preserve"> from existing</w:t>
      </w:r>
    </w:p>
    <w:p>
      <w:r>
        <w:t xml:space="preserve">run outputs. No new model/API calls were made. Style: Okabe-Ito palette, </w:t>
      </w:r>
      <w:r>
        <w:rPr>
          <w:b/>
        </w:rPr>
        <w:t>colour = condition</w:t>
      </w:r>
      <w:r>
        <w:t>,</w:t>
      </w:r>
    </w:p>
    <w:p>
      <w:r>
        <w:t>facet = model, C3 = black dashed reference, bootstrap 95% CIs, Wilson CIs for proportions, Holm-corrected</w:t>
      </w:r>
    </w:p>
    <w:p>
      <w:r>
        <w:t xml:space="preserve">paired tests. PDF (vector) + PNG (300 dpi); every plotted number is exported to </w:t>
      </w:r>
      <w:r>
        <w:rPr>
          <w:rFonts w:ascii="Consolas" w:hAnsi="Consolas"/>
          <w:sz w:val="18"/>
        </w:rPr>
        <w:t>eval/figures/paper/data/FigXX.csv</w:t>
      </w:r>
      <w:r>
        <w:t>.</w:t>
      </w:r>
    </w:p>
    <w:p>
      <w:r>
        <w:t>Metric definitions (honest names):</w:t>
      </w:r>
    </w:p>
    <w:p>
      <w:pPr>
        <w:pStyle w:val="ListBullet"/>
      </w:pPr>
      <w:r>
        <w:rPr>
          <w:b/>
        </w:rPr>
        <w:t>Season validity</w:t>
      </w:r>
      <w:r>
        <w:t xml:space="preserve"> = mean over top-5 crops of the fraction valid for the scenario's true season, using the</w:t>
      </w:r>
    </w:p>
    <w:p>
      <w:r>
        <w:t xml:space="preserve">  independent table in </w:t>
      </w:r>
      <w:r>
        <w:rPr>
          <w:rFonts w:ascii="Consolas" w:hAnsi="Consolas"/>
          <w:sz w:val="18"/>
        </w:rPr>
        <w:t>eval/metrics.py</w:t>
      </w:r>
      <w:r>
        <w:t>. C3 = 0.73, not 1.0 (Zaid-dominated).</w:t>
      </w:r>
    </w:p>
    <w:p>
      <w:pPr>
        <w:pStyle w:val="ListBullet"/>
      </w:pPr>
      <w:r>
        <w:rPr>
          <w:b/>
        </w:rPr>
        <w:t>Overlap with C3 (Jaccard)</w:t>
      </w:r>
      <w:r>
        <w:t xml:space="preserve"> = set overlap of the model top-5 with the deterministic C3 top-5. This is </w:t>
      </w:r>
      <w:r>
        <w:rPr>
          <w:b/>
        </w:rPr>
        <w:t>not</w:t>
      </w:r>
    </w:p>
    <w:p>
      <w:r>
        <w:t xml:space="preserve">  accuracy against human/agronomic ground truth (none exists); it measures agreement with the rule-based baseline.</w:t>
      </w:r>
    </w:p>
    <w:p>
      <w:pPr>
        <w:pStyle w:val="ListBullet"/>
      </w:pPr>
      <w:r>
        <w:rPr>
          <w:b/>
        </w:rPr>
        <w:t>Agreement failure</w:t>
      </w:r>
      <w:r>
        <w:t xml:space="preserve"> = fraction of scenarios sharing </w:t>
      </w:r>
      <w:r>
        <w:rPr>
          <w:b/>
        </w:rPr>
        <w:t>no</w:t>
      </w:r>
      <w:r>
        <w:t xml:space="preserve"> crop with C3.</w:t>
      </w:r>
    </w:p>
    <w:p>
      <w:pPr>
        <w:pStyle w:val="ListBullet"/>
      </w:pPr>
      <w:r>
        <w:rPr>
          <w:b/>
        </w:rPr>
        <w:t>C1 caveat:</w:t>
      </w:r>
      <w:r>
        <w:t xml:space="preserve"> the C1 prompt contains the full deterministic C3 ranking (</w:t>
      </w:r>
      <w:r>
        <w:rPr>
          <w:rFonts w:ascii="Consolas" w:hAnsi="Consolas"/>
          <w:sz w:val="18"/>
        </w:rPr>
        <w:t>CROP_SCORE</w:t>
      </w:r>
      <w:r>
        <w:t>), so C1-vs-C3 is partly circular.</w:t>
      </w:r>
    </w:p>
    <w:p>
      <w:pPr>
        <w:pStyle w:val="ListBullet"/>
      </w:pPr>
      <w:r>
        <w:rPr>
          <w:b/>
        </w:rPr>
        <w:t>C2 caveat:</w:t>
      </w:r>
      <w:r>
        <w:t xml:space="preserve"> the MCP tools executed live (</w:t>
      </w:r>
      <w:r>
        <w:rPr>
          <w:rFonts w:ascii="Consolas" w:hAnsi="Consolas"/>
          <w:sz w:val="18"/>
        </w:rPr>
        <w:t>season_tool</w:t>
      </w:r>
      <w:r>
        <w:t>/</w:t>
      </w:r>
      <w:r>
        <w:rPr>
          <w:rFonts w:ascii="Consolas" w:hAnsi="Consolas"/>
          <w:sz w:val="18"/>
        </w:rPr>
        <w:t>weather_tool</w:t>
      </w:r>
      <w:r>
        <w:t xml:space="preserve"> use </w:t>
      </w:r>
      <w:r>
        <w:rPr>
          <w:rFonts w:ascii="Consolas" w:hAnsi="Consolas"/>
          <w:sz w:val="18"/>
        </w:rPr>
        <w:t>datetime.now</w:t>
      </w:r>
      <w:r>
        <w:t>), so C2 received the</w:t>
      </w:r>
    </w:p>
    <w:p>
      <w:r>
        <w:t xml:space="preserve">  </w:t>
      </w:r>
      <w:r>
        <w:rPr>
          <w:b/>
        </w:rPr>
        <w:t>current</w:t>
      </w:r>
      <w:r>
        <w:t xml:space="preserve"> date/season, not the scenario's historical date. C2 season results are affected by this harness bug.</w:t>
      </w:r>
    </w:p>
    <w:p/>
    <w:p>
      <w:pPr>
        <w:pStyle w:val="Heading2"/>
      </w:pPr>
      <w:r>
        <w:t>What the data says right now (one page)</w:t>
      </w:r>
    </w:p>
    <w:p>
      <w:pPr>
        <w:pStyle w:val="ListNumber"/>
      </w:pPr>
      <w:r>
        <w:rPr>
          <w:b/>
        </w:rPr>
        <w:t>Showing the model the deterministic evidence (C1) is the single biggest lever.</w:t>
      </w:r>
      <w:r>
        <w:t xml:space="preserve"> Jaccard overlap with C3 rises</w:t>
      </w:r>
    </w:p>
    <w:p>
      <w:r>
        <w:t xml:space="preserve">   from 0.25→0.82 (nemotron), 0.08→0.45 (llama), 0.18→0.69 (glm); all paired differences Holm-significant</w:t>
      </w:r>
    </w:p>
    <w:p>
      <w:r>
        <w:t xml:space="preserve">   (p&lt;1e-4). </w:t>
      </w:r>
      <w:r>
        <w:rPr>
          <w:b/>
        </w:rPr>
        <w:t>But C1 is partly circular</w:t>
      </w:r>
      <w:r>
        <w:t xml:space="preserve"> because the prompt includes the C3 ranking.</w:t>
      </w:r>
    </w:p>
    <w:p>
      <w:pPr>
        <w:pStyle w:val="ListNumber"/>
      </w:pPr>
      <w:r>
        <w:rPr>
          <w:b/>
        </w:rPr>
        <w:t>Giving the model tools (C2) also helps over a bare prompt (C0)</w:t>
      </w:r>
      <w:r>
        <w:t xml:space="preserve"> — Jaccard +0.20/+0.27/+0.23 — **but C2 is</w:t>
      </w:r>
    </w:p>
    <w:p>
      <w:r>
        <w:t xml:space="preserve">   clearly worse than C1** (C1−C2 = +0.38 nemotron, +0.10 llama, +0.29 glm; significant for nemotron and llama,</w:t>
      </w:r>
    </w:p>
    <w:p>
      <w:r>
        <w:t xml:space="preserve">   marginal for glm). Tools, as run, are </w:t>
      </w:r>
      <w:r>
        <w:rPr>
          <w:b/>
        </w:rPr>
        <w:t>not</w:t>
      </w:r>
      <w:r>
        <w:t xml:space="preserve"> better than simply showing the evidence.</w:t>
      </w:r>
    </w:p>
    <w:p>
      <w:pPr>
        <w:pStyle w:val="ListNumber"/>
      </w:pPr>
      <w:r>
        <w:rPr>
          <w:b/>
        </w:rPr>
        <w:t>Tools do not improve season validity over a bare prompt.</w:t>
      </w:r>
      <w:r>
        <w:t xml:space="preserve"> C2−C0 season validity is not significant for any</w:t>
      </w:r>
    </w:p>
    <w:p>
      <w:r>
        <w:t xml:space="preserve">   model (nemotron +0.06 Holm p=0.16; llama +0.01; glm +0.07). C2 even *lowers* Rabi accuracy because the live</w:t>
      </w:r>
    </w:p>
    <w:p>
      <w:r>
        <w:t xml:space="preserve">   season tool reports the current season (Kharif) for historical Rabi scenarios.</w:t>
      </w:r>
    </w:p>
    <w:p>
      <w:pPr>
        <w:pStyle w:val="ListNumber"/>
      </w:pPr>
      <w:r>
        <w:rPr>
          <w:b/>
        </w:rPr>
        <w:t>No crop hallucinations anywhere.</w:t>
      </w:r>
      <w:r>
        <w:t xml:space="preserve"> All 1,611 raw out-of-registry names were the two parenthesised canonical</w:t>
      </w:r>
    </w:p>
    <w:p>
      <w:r>
        <w:t xml:space="preserve">   crops (</w:t>
      </w:r>
      <w:r>
        <w:rPr>
          <w:rFonts w:ascii="Consolas" w:hAnsi="Consolas"/>
          <w:sz w:val="18"/>
        </w:rPr>
        <w:t>Sesame (Til)</w:t>
      </w:r>
      <w:r>
        <w:t xml:space="preserve">, </w:t>
      </w:r>
      <w:r>
        <w:rPr>
          <w:rFonts w:ascii="Consolas" w:hAnsi="Consolas"/>
          <w:sz w:val="18"/>
        </w:rPr>
        <w:t>Arhar (Tur)</w:t>
      </w:r>
      <w:r>
        <w:t>) mis-handled by a normaliser bug, now fixed. Genuine hallucination = 0.0%.</w:t>
      </w:r>
    </w:p>
    <w:p>
      <w:pPr>
        <w:pStyle w:val="ListNumber"/>
      </w:pPr>
      <w:r>
        <w:rPr>
          <w:b/>
        </w:rPr>
        <w:t>Outputs are reliable, C2 is not always compliant.</w:t>
      </w:r>
      <w:r>
        <w:t xml:space="preserve"> Invalid-JSON ≤4.4% everywhere; the only failures are C2</w:t>
      </w:r>
    </w:p>
    <w:p>
      <w:r>
        <w:t xml:space="preserve">   tool-loop errors (llama 18/150 = 12%). In ~12–14% of C2 responses models made </w:t>
      </w:r>
      <w:r>
        <w:rPr>
          <w:b/>
        </w:rPr>
        <w:t>zero</w:t>
      </w:r>
      <w:r>
        <w:t xml:space="preserve"> tool calls.</w:t>
      </w:r>
    </w:p>
    <w:p>
      <w:pPr>
        <w:pStyle w:val="ListNumber"/>
      </w:pPr>
      <w:r>
        <w:rPr>
          <w:b/>
        </w:rPr>
        <w:t>Coverage is uneven.</w:t>
      </w:r>
      <w:r>
        <w:t xml:space="preserve"> nemotron n=500, llama n=150, glm n=32 (preliminary, n&lt;100). Cross-model claims use only</w:t>
      </w:r>
    </w:p>
    <w:p>
      <w:r>
        <w:t xml:space="preserve">   the nested paired subsets (150 or 32 scenarios).</w:t>
      </w:r>
    </w:p>
    <w:p>
      <w:r>
        <w:rPr>
          <w:b/>
        </w:rPr>
        <w:t>Biggest caveats to any paper claim:</w:t>
      </w:r>
      <w:r>
        <w:t xml:space="preserve"> (i) no independent ground truth — all quality numbers are agreement with a</w:t>
      </w:r>
    </w:p>
    <w:p>
      <w:r>
        <w:t>rule-based baseline; (ii) C1 leakage; (iii) C2 live-tool date mismatch; (iv) glm is under-powered.</w:t>
      </w:r>
    </w:p>
    <w:p/>
    <w:p>
      <w:pPr>
        <w:pStyle w:val="Heading2"/>
      </w:pPr>
      <w:r>
        <w:t>Figures</w:t>
      </w:r>
    </w:p>
    <w:p>
      <w:pPr>
        <w:pStyle w:val="Heading3"/>
      </w:pPr>
      <w:r>
        <w:t>Fig01 — Study design schematic</w:t>
      </w:r>
    </w:p>
    <w:p>
      <w:r>
        <w:drawing>
          <wp:inline xmlns:a="http://schemas.openxmlformats.org/drawingml/2006/main" xmlns:pic="http://schemas.openxmlformats.org/drawingml/2006/picture">
            <wp:extent cx="5760720" cy="27284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study_desig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8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Study design</w:t>
      </w:r>
    </w:p>
    <w:p>
      <w:r>
        <w:rPr>
          <w:b/>
        </w:rPr>
        <w:t>Shows:</w:t>
      </w:r>
      <w:r>
        <w:t xml:space="preserve"> the experimental flow — scenarios → conditions C0/C0b/C1/C2 → three LLMs → metric families, with C3</w:t>
      </w:r>
    </w:p>
    <w:p>
      <w:r>
        <w:t xml:space="preserve">(deterministic, no LLM) as reference. </w:t>
      </w:r>
      <w:r>
        <w:rPr>
          <w:b/>
        </w:rPr>
        <w:t>How to read:</w:t>
      </w:r>
      <w:r>
        <w:t xml:space="preserve"> left-to-right pipeline; C3 feeds the C1 prompt and the</w:t>
      </w:r>
    </w:p>
    <w:p>
      <w:r>
        <w:t xml:space="preserve">reference ranking. </w:t>
      </w:r>
      <w:r>
        <w:rPr>
          <w:b/>
        </w:rPr>
        <w:t>Key numbers:</w:t>
      </w:r>
      <w:r>
        <w:t xml:space="preserve"> 500 MP district-dates (150 stress), 3 LLMs, 5 conditions. </w:t>
      </w:r>
      <w:r>
        <w:rPr>
          <w:b/>
        </w:rPr>
        <w:t>Does not show:</w:t>
      </w:r>
    </w:p>
    <w:p>
      <w:r>
        <w:t xml:space="preserve">model internals or tool implementations. </w:t>
      </w:r>
      <w:r>
        <w:rPr>
          <w:b/>
        </w:rPr>
        <w:t>So what:</w:t>
      </w:r>
      <w:r>
        <w:t xml:space="preserve"> the design isolates prompt-only vs tools vs deterministic.</w:t>
      </w:r>
    </w:p>
    <w:p>
      <w:pPr>
        <w:pStyle w:val="Heading3"/>
      </w:pPr>
      <w:r>
        <w:t>Fig02 — Headline results</w:t>
      </w:r>
    </w:p>
    <w:p>
      <w:r>
        <w:drawing>
          <wp:inline xmlns:a="http://schemas.openxmlformats.org/drawingml/2006/main" xmlns:pic="http://schemas.openxmlformats.org/drawingml/2006/picture">
            <wp:extent cx="5760720" cy="21118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head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1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Headline</w:t>
      </w:r>
    </w:p>
    <w:p>
      <w:r>
        <w:rPr>
          <w:b/>
        </w:rPr>
        <w:t>Shows:</w:t>
      </w:r>
      <w:r>
        <w:t xml:space="preserve"> (a) season validity, (b) Jaccard overlap with C3, (c) agreement-failure rate, by condition × model, with</w:t>
      </w:r>
    </w:p>
    <w:p>
      <w:r>
        <w:t xml:space="preserve">C3 reference. </w:t>
      </w:r>
      <w:r>
        <w:rPr>
          <w:b/>
        </w:rPr>
        <w:t>How to read:</w:t>
      </w:r>
      <w:r>
        <w:t xml:space="preserve"> higher is better in (a),(b); lower in (c); error bars = 95% bootstrap CI; black</w:t>
      </w:r>
    </w:p>
    <w:p>
      <w:r>
        <w:t xml:space="preserve">dashed = C3. </w:t>
      </w:r>
      <w:r>
        <w:rPr>
          <w:b/>
        </w:rPr>
        <w:t>Key numbers:</w:t>
      </w:r>
      <w:r>
        <w:t xml:space="preserve"> overlap C3 = 0.73 season-valid; Jaccard C1 = 0.82/0.45/0.69, C2 = 0.45/0.35/0.40,</w:t>
      </w:r>
    </w:p>
    <w:p>
      <w:r>
        <w:t xml:space="preserve">C0 = 0.25/0.08/0.18 (nemotron/llama/glm). </w:t>
      </w:r>
      <w:r>
        <w:rPr>
          <w:b/>
        </w:rPr>
        <w:t>Does not show:</w:t>
      </w:r>
      <w:r>
        <w:t xml:space="preserve"> per-scenario spread (Fig04) or significance (Fig03).</w:t>
      </w:r>
    </w:p>
    <w:p>
      <w:r>
        <w:rPr>
          <w:b/>
        </w:rPr>
        <w:t>So what:</w:t>
      </w:r>
      <w:r>
        <w:t xml:space="preserve"> C1 ≈ C3 on agreement; C2 sits between C1 and C0.</w:t>
      </w:r>
    </w:p>
    <w:p>
      <w:pPr>
        <w:pStyle w:val="Heading3"/>
      </w:pPr>
      <w:r>
        <w:t>Fig03 — Paired forest plot (the impact figure)</w:t>
      </w:r>
    </w:p>
    <w:p>
      <w:r>
        <w:drawing>
          <wp:inline xmlns:a="http://schemas.openxmlformats.org/drawingml/2006/main" xmlns:pic="http://schemas.openxmlformats.org/drawingml/2006/picture">
            <wp:extent cx="5760720" cy="28528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forest_paired_diff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2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Forest</w:t>
      </w:r>
    </w:p>
    <w:p>
      <w:r>
        <w:rPr>
          <w:b/>
        </w:rPr>
        <w:t>Shows:</w:t>
      </w:r>
      <w:r>
        <w:t xml:space="preserve"> within-scenario paired differences for three contrasts (C0−C1, C0−C2, C1−C2) on two metrics, per model;</w:t>
      </w:r>
    </w:p>
    <w:p>
      <w:r>
        <w:t xml:space="preserve">95% bootstrap CI; Holm-adjusted significance; Cliff's δ. </w:t>
      </w:r>
      <w:r>
        <w:rPr>
          <w:b/>
        </w:rPr>
        <w:t>How to read:</w:t>
      </w:r>
      <w:r>
        <w:t xml:space="preserve"> point = mean difference (A−B); CI crossing</w:t>
      </w:r>
    </w:p>
    <w:p>
      <w:r>
        <w:t xml:space="preserve">0 = not significant; labels are "A−B". </w:t>
      </w:r>
      <w:r>
        <w:rPr>
          <w:b/>
        </w:rPr>
        <w:t>Key numbers:</w:t>
      </w:r>
      <w:r>
        <w:t xml:space="preserve"> Jaccard C0−C1 = −0.56/−0.38/−0.54 (all p&lt;1e-4);</w:t>
      </w:r>
    </w:p>
    <w:p>
      <w:r>
        <w:t>C0−C2 = −0.20/−0.27/−0.23; C1−C2 = +0.38 (p≈2e-40), +0.10 (Holm p=0.025), +0.29 (Holm p=0.056). Season validity</w:t>
      </w:r>
    </w:p>
    <w:p>
      <w:r>
        <w:t xml:space="preserve">C2−C0 all non-significant. </w:t>
      </w:r>
      <w:r>
        <w:rPr>
          <w:b/>
        </w:rPr>
        <w:t>Does not show:</w:t>
      </w:r>
      <w:r>
        <w:t xml:space="preserve"> absolute levels. </w:t>
      </w:r>
      <w:r>
        <w:rPr>
          <w:b/>
        </w:rPr>
        <w:t>So what:</w:t>
      </w:r>
      <w:r>
        <w:t xml:space="preserve"> C1 dominates; C2 beats C0 but loses to C1;</w:t>
      </w:r>
    </w:p>
    <w:p>
      <w:r>
        <w:t>C2 does not help season validity.</w:t>
      </w:r>
    </w:p>
    <w:p>
      <w:pPr>
        <w:pStyle w:val="Heading3"/>
      </w:pPr>
      <w:r>
        <w:t>Fig04 — Per-scenario overlap distribution</w:t>
      </w:r>
    </w:p>
    <w:p>
      <w:r>
        <w:drawing>
          <wp:inline xmlns:a="http://schemas.openxmlformats.org/drawingml/2006/main" xmlns:pic="http://schemas.openxmlformats.org/drawingml/2006/picture">
            <wp:extent cx="5760720" cy="21118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per_scenario_overl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1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Violin</w:t>
      </w:r>
    </w:p>
    <w:p>
      <w:r>
        <w:rPr>
          <w:b/>
        </w:rPr>
        <w:t>Shows:</w:t>
      </w:r>
      <w:r>
        <w:t xml:space="preserve"> full distribution (violin + box + points) of Jaccard overlap with C3 per condition, faceted by model;</w:t>
      </w:r>
    </w:p>
    <w:p>
      <w:r>
        <w:t xml:space="preserve">C3 line dashed. </w:t>
      </w:r>
      <w:r>
        <w:rPr>
          <w:b/>
        </w:rPr>
        <w:t>How to read:</w:t>
      </w:r>
      <w:r>
        <w:t xml:space="preserve"> wider violin = more spread; box = IQR/median. </w:t>
      </w:r>
      <w:r>
        <w:rPr>
          <w:b/>
        </w:rPr>
        <w:t>Key numbers:</w:t>
      </w:r>
      <w:r>
        <w:t xml:space="preserve"> means as Fig02;</w:t>
      </w:r>
    </w:p>
    <w:p>
      <w:r>
        <w:t xml:space="preserve">C1 distributions are tight and high, C2 bimodal in llama/glm. </w:t>
      </w:r>
      <w:r>
        <w:rPr>
          <w:b/>
        </w:rPr>
        <w:t>Does not show:</w:t>
      </w:r>
      <w:r>
        <w:t xml:space="preserve"> time or per-season structure.</w:t>
      </w:r>
    </w:p>
    <w:p>
      <w:r>
        <w:rPr>
          <w:b/>
        </w:rPr>
        <w:t>So what:</w:t>
      </w:r>
      <w:r>
        <w:t xml:space="preserve"> the C1 advantage is consistent, not driven by outliers.</w:t>
      </w:r>
    </w:p>
    <w:p>
      <w:pPr>
        <w:pStyle w:val="Heading3"/>
      </w:pPr>
      <w:r>
        <w:t>Fig05 — Season validity by season</w:t>
      </w:r>
    </w:p>
    <w:p>
      <w:r>
        <w:drawing>
          <wp:inline xmlns:a="http://schemas.openxmlformats.org/drawingml/2006/main" xmlns:pic="http://schemas.openxmlformats.org/drawingml/2006/picture">
            <wp:extent cx="5760720" cy="21118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season_validity_by_sea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1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Season</w:t>
      </w:r>
    </w:p>
    <w:p>
      <w:r>
        <w:rPr>
          <w:b/>
        </w:rPr>
        <w:t>Shows:</w:t>
      </w:r>
      <w:r>
        <w:t xml:space="preserve"> season validity split by Kharif/Rabi/Zaid, per model, with C3 dashed per season. </w:t>
      </w:r>
      <w:r>
        <w:rPr>
          <w:b/>
        </w:rPr>
        <w:t>How to read:</w:t>
      </w:r>
    </w:p>
    <w:p>
      <w:r>
        <w:t xml:space="preserve">compare colours within a season; C3 dash = deterministic per-season level. </w:t>
      </w:r>
      <w:r>
        <w:rPr>
          <w:b/>
        </w:rPr>
        <w:t>Key numbers:</w:t>
      </w:r>
      <w:r>
        <w:t xml:space="preserve"> Zaid collapses for all</w:t>
      </w:r>
    </w:p>
    <w:p>
      <w:r>
        <w:t xml:space="preserve">(≈0.12–0.24); nemotron C1 Kharif 0.90 / Rabi 0.88 / Zaid 0.24; </w:t>
      </w:r>
      <w:r>
        <w:rPr>
          <w:b/>
        </w:rPr>
        <w:t>C2 Rabi (0.25) is far below C0 Rabi (0.68)</w:t>
      </w:r>
      <w:r>
        <w:t xml:space="preserve"> for</w:t>
      </w:r>
    </w:p>
    <w:p>
      <w:r>
        <w:t xml:space="preserve">nemotron; llama C2 Rabi 0.17 vs C1 0.76. </w:t>
      </w:r>
      <w:r>
        <w:rPr>
          <w:b/>
        </w:rPr>
        <w:t>Does not show:</w:t>
      </w:r>
      <w:r>
        <w:t xml:space="preserve"> why (see diagnostics: live season tool).</w:t>
      </w:r>
    </w:p>
    <w:p>
      <w:r>
        <w:rPr>
          <w:b/>
        </w:rPr>
        <w:t>So what:</w:t>
      </w:r>
      <w:r>
        <w:t xml:space="preserve"> the Zaid collapse is a metric/registry artifact; the C2 Rabi drop is the live-tool bug.</w:t>
      </w:r>
    </w:p>
    <w:p>
      <w:pPr>
        <w:pStyle w:val="Heading3"/>
      </w:pPr>
      <w:r>
        <w:t>Fig06 — C2 outcome breakdown</w:t>
      </w:r>
    </w:p>
    <w:p>
      <w:r>
        <w:drawing>
          <wp:inline xmlns:a="http://schemas.openxmlformats.org/drawingml/2006/main" xmlns:pic="http://schemas.openxmlformats.org/drawingml/2006/picture">
            <wp:extent cx="5760720" cy="44403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C2_outcome_breakdow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0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C2 outcomes</w:t>
      </w:r>
    </w:p>
    <w:p>
      <w:r>
        <w:rPr>
          <w:b/>
        </w:rPr>
        <w:t>Shows:</w:t>
      </w:r>
      <w:r>
        <w:t xml:space="preserve"> stacked composition of all C2 scenarios: valid+season-correct, valid+wrong-season, invalid JSON, tool</w:t>
      </w:r>
    </w:p>
    <w:p>
      <w:r>
        <w:t xml:space="preserve">error, other error. </w:t>
      </w:r>
      <w:r>
        <w:rPr>
          <w:b/>
        </w:rPr>
        <w:t>How to read:</w:t>
      </w:r>
      <w:r>
        <w:t xml:space="preserve"> proportions sum to 1 per model; counts annotated. </w:t>
      </w:r>
      <w:r>
        <w:rPr>
          <w:b/>
        </w:rPr>
        <w:t>Key numbers:</w:t>
      </w:r>
      <w:r>
        <w:t xml:space="preserve"> nemotron</w:t>
      </w:r>
    </w:p>
    <w:p>
      <w:r>
        <w:t>116 correct / 362 wrong-season / 22 invalid JSON (0 errors); llama 25/102/5 + 18 tool errors; glm 10/20 + 2 errors.</w:t>
      </w:r>
    </w:p>
    <w:p>
      <w:r>
        <w:rPr>
          <w:b/>
        </w:rPr>
        <w:t>Does not show:</w:t>
      </w:r>
      <w:r>
        <w:t xml:space="preserve"> C0/C1/C3 (see Fig07). </w:t>
      </w:r>
      <w:r>
        <w:rPr>
          <w:b/>
        </w:rPr>
        <w:t>So what:</w:t>
      </w:r>
      <w:r>
        <w:t xml:space="preserve"> C2 rarely produces a wrong-season crop, but also rarely a</w:t>
      </w:r>
    </w:p>
    <w:p>
      <w:r>
        <w:t>season-correct one — tools mostly return Kharif-type crops.</w:t>
      </w:r>
    </w:p>
    <w:p>
      <w:pPr>
        <w:pStyle w:val="Heading3"/>
      </w:pPr>
      <w:r>
        <w:t>Fig07 — Reliability</w:t>
      </w:r>
    </w:p>
    <w:p>
      <w:r>
        <w:drawing>
          <wp:inline xmlns:a="http://schemas.openxmlformats.org/drawingml/2006/main" xmlns:pic="http://schemas.openxmlformats.org/drawingml/2006/picture">
            <wp:extent cx="5760720" cy="22777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reliabi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7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Reliability</w:t>
      </w:r>
    </w:p>
    <w:p>
      <w:r>
        <w:rPr>
          <w:b/>
        </w:rPr>
        <w:t>Shows:</w:t>
      </w:r>
      <w:r>
        <w:t xml:space="preserve"> (a) invalid-JSON failure rate, (b) API/tool failure rate, by condition × model, Wilson 95% CIs.</w:t>
      </w:r>
    </w:p>
    <w:p>
      <w:r>
        <w:rPr>
          <w:b/>
        </w:rPr>
        <w:t>How to read:</w:t>
      </w:r>
      <w:r>
        <w:t xml:space="preserve"> failure rates (0 best); C2 llama is the only structurally high bar. </w:t>
      </w:r>
      <w:r>
        <w:rPr>
          <w:b/>
        </w:rPr>
        <w:t>Key numbers:</w:t>
      </w:r>
      <w:r>
        <w:t xml:space="preserve"> invalid JSON</w:t>
      </w:r>
    </w:p>
    <w:p>
      <w:r>
        <w:t>≤0.044 (nemotron C2 0.044, llama C2 0.033); API failure llama C2 0.12 (18/150), glm 0.06–0.16; all C0/C0b/C1 ≈0.</w:t>
      </w:r>
    </w:p>
    <w:p>
      <w:r>
        <w:rPr>
          <w:b/>
        </w:rPr>
        <w:t>Does not show:</w:t>
      </w:r>
      <w:r>
        <w:t xml:space="preserve"> error causes (see diagnostics: max tool rounds, 504s). </w:t>
      </w:r>
      <w:r>
        <w:rPr>
          <w:b/>
        </w:rPr>
        <w:t>So what:</w:t>
      </w:r>
      <w:r>
        <w:t xml:space="preserve"> JSON reliability is high; the</w:t>
      </w:r>
    </w:p>
    <w:p>
      <w:r>
        <w:t>C2 tool loop is the fragile component.</w:t>
      </w:r>
    </w:p>
    <w:p>
      <w:pPr>
        <w:pStyle w:val="Heading3"/>
      </w:pPr>
      <w:r>
        <w:t>Fig08 — Efficiency</w:t>
      </w:r>
    </w:p>
    <w:p>
      <w:r>
        <w:drawing>
          <wp:inline xmlns:a="http://schemas.openxmlformats.org/drawingml/2006/main" xmlns:pic="http://schemas.openxmlformats.org/drawingml/2006/picture">
            <wp:extent cx="5760720" cy="22799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efficienc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9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Efficiency</w:t>
      </w:r>
    </w:p>
    <w:p>
      <w:r>
        <w:rPr>
          <w:b/>
        </w:rPr>
        <w:t>Shows:</w:t>
      </w:r>
      <w:r>
        <w:t xml:space="preserve"> (a) per-scenario latency (log scale, non-error), (b) output tokens, (c) tool calls, by condition × model.</w:t>
      </w:r>
    </w:p>
    <w:p>
      <w:r>
        <w:rPr>
          <w:b/>
        </w:rPr>
        <w:t>How to read:</w:t>
      </w:r>
      <w:r>
        <w:t xml:space="preserve"> log axis in (a); bars with 95% bootstrap CI. </w:t>
      </w:r>
      <w:r>
        <w:rPr>
          <w:b/>
        </w:rPr>
        <w:t>Key numbers:</w:t>
      </w:r>
      <w:r>
        <w:t xml:space="preserve"> median latency C1: nemotron 33 s,</w:t>
      </w:r>
    </w:p>
    <w:p>
      <w:r>
        <w:t>llama 4 s, glm 217 s; C2: 34/26/408 s. Tokens out: nemotron ~0.9–1.3k, llama 73–467, glm 594–803. Tool calls C2</w:t>
      </w:r>
    </w:p>
    <w:p>
      <w:r>
        <w:t xml:space="preserve">≈5.2–5.6 (but ~12% zero). </w:t>
      </w:r>
      <w:r>
        <w:rPr>
          <w:b/>
        </w:rPr>
        <w:t>Does not show:</w:t>
      </w:r>
      <w:r>
        <w:t xml:space="preserve"> retry/backoff breakdown. </w:t>
      </w:r>
      <w:r>
        <w:rPr>
          <w:b/>
        </w:rPr>
        <w:t>So what:</w:t>
      </w:r>
      <w:r>
        <w:t xml:space="preserve"> glm is ~40× slower; C2 adds</w:t>
      </w:r>
    </w:p>
    <w:p>
      <w:r>
        <w:t>latency and tool calls for little quality gain over C1.</w:t>
      </w:r>
    </w:p>
    <w:p>
      <w:pPr>
        <w:pStyle w:val="Heading3"/>
      </w:pPr>
      <w:r>
        <w:t>Fig09 — Cost vs quality</w:t>
      </w:r>
    </w:p>
    <w:p>
      <w:r>
        <w:drawing>
          <wp:inline xmlns:a="http://schemas.openxmlformats.org/drawingml/2006/main" xmlns:pic="http://schemas.openxmlformats.org/drawingml/2006/picture">
            <wp:extent cx="5760720" cy="46180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cost_qual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8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Cost quality</w:t>
      </w:r>
    </w:p>
    <w:p>
      <w:r>
        <w:rPr>
          <w:b/>
        </w:rPr>
        <w:t>Shows:</w:t>
      </w:r>
      <w:r>
        <w:t xml:space="preserve"> median latency (log x) vs mean Jaccard overlap (y); marker = model, colour = condition; dotted Pareto</w:t>
      </w:r>
    </w:p>
    <w:p>
      <w:r>
        <w:t xml:space="preserve">frontier (up-left is better). </w:t>
      </w:r>
      <w:r>
        <w:rPr>
          <w:b/>
        </w:rPr>
        <w:t>How to read:</w:t>
      </w:r>
      <w:r>
        <w:t xml:space="preserve"> points higher-left dominate. </w:t>
      </w:r>
      <w:r>
        <w:rPr>
          <w:b/>
        </w:rPr>
        <w:t>Key numbers:</w:t>
      </w:r>
      <w:r>
        <w:t xml:space="preserve"> nemotron C1 (32 s,</w:t>
      </w:r>
    </w:p>
    <w:p>
      <w:r>
        <w:t xml:space="preserve">0.82) and llama C1 (4 s, 0.45) are on the frontier; glm is off to the right (≥186 s). </w:t>
      </w:r>
      <w:r>
        <w:rPr>
          <w:b/>
        </w:rPr>
        <w:t>Does not show:</w:t>
      </w:r>
      <w:r>
        <w:t xml:space="preserve"> CIs on the</w:t>
      </w:r>
    </w:p>
    <w:p>
      <w:r>
        <w:t xml:space="preserve">frontier. </w:t>
      </w:r>
      <w:r>
        <w:rPr>
          <w:b/>
        </w:rPr>
        <w:t>So what:</w:t>
      </w:r>
      <w:r>
        <w:t xml:space="preserve"> llama C1 gives the best quality-per-second; glm is dominated.</w:t>
      </w:r>
    </w:p>
    <w:p>
      <w:pPr>
        <w:pStyle w:val="Heading3"/>
      </w:pPr>
      <w:r>
        <w:t>Fig10 — Tool use (C2)</w:t>
      </w:r>
    </w:p>
    <w:p>
      <w:r>
        <w:drawing>
          <wp:inline xmlns:a="http://schemas.openxmlformats.org/drawingml/2006/main" xmlns:pic="http://schemas.openxmlformats.org/drawingml/2006/picture">
            <wp:extent cx="5760720" cy="22694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tool_u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9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Tool use</w:t>
      </w:r>
    </w:p>
    <w:p>
      <w:r>
        <w:rPr>
          <w:b/>
        </w:rPr>
        <w:t>Shows:</w:t>
      </w:r>
      <w:r>
        <w:t xml:space="preserve"> (a) distribution of the number of tool calls per C2 response; (b) mean overlap with C3 as a function of</w:t>
      </w:r>
    </w:p>
    <w:p>
      <w:r>
        <w:t xml:space="preserve">tool-call count. </w:t>
      </w:r>
      <w:r>
        <w:rPr>
          <w:b/>
        </w:rPr>
        <w:t>How to read:</w:t>
      </w:r>
      <w:r>
        <w:t xml:space="preserve"> (a) fractions; (b) dot + 95% CI. </w:t>
      </w:r>
      <w:r>
        <w:rPr>
          <w:b/>
        </w:rPr>
        <w:t>Key numbers:</w:t>
      </w:r>
      <w:r>
        <w:t xml:space="preserve"> 0-call fraction — nemotron 14%,</w:t>
      </w:r>
    </w:p>
    <w:p>
      <w:r>
        <w:t xml:space="preserve">llama 12%, glm 6%; for nemotron, 0-call responses overlap C3 </w:t>
      </w:r>
      <w:r>
        <w:rPr>
          <w:b/>
        </w:rPr>
        <w:t>more</w:t>
      </w:r>
      <w:r>
        <w:t xml:space="preserve"> (0.68) than 6-call responses (0.42).</w:t>
      </w:r>
    </w:p>
    <w:p>
      <w:r>
        <w:rPr>
          <w:b/>
        </w:rPr>
        <w:t>Does not show:</w:t>
      </w:r>
      <w:r>
        <w:t xml:space="preserve"> *which* tools were called (names not recorded). </w:t>
      </w:r>
      <w:r>
        <w:rPr>
          <w:b/>
        </w:rPr>
        <w:t>So what:</w:t>
      </w:r>
      <w:r>
        <w:t xml:space="preserve"> calling tools can *hurt* agreement —</w:t>
      </w:r>
    </w:p>
    <w:p>
      <w:r>
        <w:t>consistent with the live-tool date bug.</w:t>
      </w:r>
    </w:p>
    <w:p>
      <w:pPr>
        <w:pStyle w:val="Heading3"/>
      </w:pPr>
      <w:r>
        <w:t>Fig11 — Crop frequency</w:t>
      </w:r>
    </w:p>
    <w:p>
      <w:r>
        <w:drawing>
          <wp:inline xmlns:a="http://schemas.openxmlformats.org/drawingml/2006/main" xmlns:pic="http://schemas.openxmlformats.org/drawingml/2006/picture">
            <wp:extent cx="5760720" cy="639111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crop_frequenc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91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Crops</w:t>
      </w:r>
    </w:p>
    <w:p>
      <w:r>
        <w:rPr>
          <w:b/>
        </w:rPr>
        <w:t>Shows:</w:t>
      </w:r>
      <w:r>
        <w:t xml:space="preserve"> share of top-5 slots for the 15 most-used crops, per model, plus C3; Shannon entropy (H) per model.</w:t>
      </w:r>
    </w:p>
    <w:p>
      <w:r>
        <w:rPr>
          <w:b/>
        </w:rPr>
        <w:t>How to read:</w:t>
      </w:r>
      <w:r>
        <w:t xml:space="preserve"> cell = % of slots; rows ordered by overall frequency. </w:t>
      </w:r>
      <w:r>
        <w:rPr>
          <w:b/>
        </w:rPr>
        <w:t>Key numbers:</w:t>
      </w:r>
      <w:r>
        <w:t xml:space="preserve"> C3 H≈4.03; models vary —</w:t>
      </w:r>
    </w:p>
    <w:p>
      <w:r>
        <w:t xml:space="preserve">llama over-uses Soybean (16%)/Cotton (13%)/Wheat (14%); nemotron is flatter. </w:t>
      </w:r>
      <w:r>
        <w:rPr>
          <w:b/>
        </w:rPr>
        <w:t>Does not show:</w:t>
      </w:r>
      <w:r>
        <w:t xml:space="preserve"> correctness.</w:t>
      </w:r>
    </w:p>
    <w:p>
      <w:r>
        <w:rPr>
          <w:b/>
        </w:rPr>
        <w:t>So what:</w:t>
      </w:r>
      <w:r>
        <w:t xml:space="preserve"> models differ in crop prior; over-concentration (low H) coincides with lower agreement (llama).</w:t>
      </w:r>
    </w:p>
    <w:p>
      <w:pPr>
        <w:pStyle w:val="Heading3"/>
      </w:pPr>
      <w:r>
        <w:t>Fig12 — Stress vs normal</w:t>
      </w:r>
    </w:p>
    <w:p>
      <w:r>
        <w:drawing>
          <wp:inline xmlns:a="http://schemas.openxmlformats.org/drawingml/2006/main" xmlns:pic="http://schemas.openxmlformats.org/drawingml/2006/picture">
            <wp:extent cx="5760720" cy="227775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stress_vs_norm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7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Stress</w:t>
      </w:r>
    </w:p>
    <w:p>
      <w:r>
        <w:rPr>
          <w:b/>
        </w:rPr>
        <w:t>Shows:</w:t>
      </w:r>
      <w:r>
        <w:t xml:space="preserve"> Jaccard overlap and season validity for stress vs normal scenarios, per condition (bars averaged over</w:t>
      </w:r>
    </w:p>
    <w:p>
      <w:r>
        <w:t xml:space="preserve">models). </w:t>
      </w:r>
      <w:r>
        <w:rPr>
          <w:b/>
        </w:rPr>
        <w:t>How to read:</w:t>
      </w:r>
      <w:r>
        <w:t xml:space="preserve"> dark = stress, light = normal, within each condition. </w:t>
      </w:r>
      <w:r>
        <w:rPr>
          <w:b/>
        </w:rPr>
        <w:t>Key numbers:</w:t>
      </w:r>
      <w:r>
        <w:t xml:space="preserve"> normal Jaccard</w:t>
      </w:r>
    </w:p>
    <w:p>
      <w:r>
        <w:t>beats stress in C1 (e.g. nemotron 0.83 vs 0.79); differences are small. Season validity drops under stress for C0b</w:t>
      </w:r>
    </w:p>
    <w:p>
      <w:r>
        <w:t xml:space="preserve">and C2. </w:t>
      </w:r>
      <w:r>
        <w:rPr>
          <w:b/>
        </w:rPr>
        <w:t>Does not show:</w:t>
      </w:r>
      <w:r>
        <w:t xml:space="preserve"> per-model CIs in-figure (exported in CSV). </w:t>
      </w:r>
      <w:r>
        <w:rPr>
          <w:b/>
        </w:rPr>
        <w:t>So what:</w:t>
      </w:r>
      <w:r>
        <w:t xml:space="preserve"> stress scenarios are modestly</w:t>
      </w:r>
    </w:p>
    <w:p>
      <w:r>
        <w:t>harder; the C2 advantage shrinks under stress.</w:t>
      </w:r>
    </w:p>
    <w:p>
      <w:pPr>
        <w:pStyle w:val="Heading3"/>
      </w:pPr>
      <w:r>
        <w:t>Fig13 — Cross-model agreement</w:t>
      </w:r>
    </w:p>
    <w:p>
      <w:r>
        <w:drawing>
          <wp:inline xmlns:a="http://schemas.openxmlformats.org/drawingml/2006/main" xmlns:pic="http://schemas.openxmlformats.org/drawingml/2006/picture">
            <wp:extent cx="5760720" cy="19616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cross_model_jacc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1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Cross model</w:t>
      </w:r>
    </w:p>
    <w:p>
      <w:r>
        <w:rPr>
          <w:b/>
        </w:rPr>
        <w:t>Shows:</w:t>
      </w:r>
      <w:r>
        <w:t xml:space="preserve"> pairwise mean Jaccard between the top-5 of different models, per condition (nested pairs, n annotated).</w:t>
      </w:r>
    </w:p>
    <w:p>
      <w:r>
        <w:rPr>
          <w:b/>
        </w:rPr>
        <w:t>How to read:</w:t>
      </w:r>
      <w:r>
        <w:t xml:space="preserve"> darker = more agreement; diagonal = 1. </w:t>
      </w:r>
      <w:r>
        <w:rPr>
          <w:b/>
        </w:rPr>
        <w:t>Key numbers:</w:t>
      </w:r>
      <w:r>
        <w:t xml:space="preserve"> C2 gives the most agreement (nemotron–glm</w:t>
      </w:r>
    </w:p>
    <w:p>
      <w:r>
        <w:t xml:space="preserve">0.82, llama–glm 0.75, nemotron–llama 0.63); C0 the least (0.25–0.51). </w:t>
      </w:r>
      <w:r>
        <w:rPr>
          <w:b/>
        </w:rPr>
        <w:t>Does not show:</w:t>
      </w:r>
      <w:r>
        <w:t xml:space="preserve"> agreement with C3.</w:t>
      </w:r>
    </w:p>
    <w:p>
      <w:r>
        <w:rPr>
          <w:b/>
        </w:rPr>
        <w:t>So what:</w:t>
      </w:r>
      <w:r>
        <w:t xml:space="preserve"> tools homogenise model outputs even when they do not improve correctness.</w:t>
      </w:r>
    </w:p>
    <w:p>
      <w:pPr>
        <w:pStyle w:val="Heading3"/>
      </w:pPr>
      <w:r>
        <w:t>Fig14 — Deterministic C3 summary (10k scenarios)</w:t>
      </w:r>
    </w:p>
    <w:p>
      <w:r>
        <w:drawing>
          <wp:inline xmlns:a="http://schemas.openxmlformats.org/drawingml/2006/main" xmlns:pic="http://schemas.openxmlformats.org/drawingml/2006/picture">
            <wp:extent cx="5760720" cy="211522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deterministic_summa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5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Deterministic</w:t>
      </w:r>
    </w:p>
    <w:p>
      <w:r>
        <w:rPr>
          <w:b/>
        </w:rPr>
        <w:t>Shows:</w:t>
      </w:r>
      <w:r>
        <w:t xml:space="preserve"> C3 behaviour over all 10,000 scenarios: (a) season validity stress vs normal, (b) by season,</w:t>
      </w:r>
    </w:p>
    <w:p>
      <w:r>
        <w:t xml:space="preserve">(c) specificity (distinct crops, Shannon entropy, district differentiation). </w:t>
      </w:r>
      <w:r>
        <w:rPr>
          <w:b/>
        </w:rPr>
        <w:t>How to read:</w:t>
      </w:r>
      <w:r>
        <w:t xml:space="preserve"> bars annotated with</w:t>
      </w:r>
    </w:p>
    <w:p>
      <w:r>
        <w:t xml:space="preserve">n. </w:t>
      </w:r>
      <w:r>
        <w:rPr>
          <w:b/>
        </w:rPr>
        <w:t>Key numbers:</w:t>
      </w:r>
      <w:r>
        <w:t xml:space="preserve"> overall 0.748; normal 0.894 vs stress 0.548; Kharif 0.990, Rabi 0.987, </w:t>
      </w:r>
      <w:r>
        <w:rPr>
          <w:b/>
        </w:rPr>
        <w:t>Zaid 0.264</w:t>
      </w:r>
      <w:r>
        <w:t>;</w:t>
      </w:r>
    </w:p>
    <w:p>
      <w:r>
        <w:t xml:space="preserve">21 distinct crops, H=4.03, differentiation 0.181. </w:t>
      </w:r>
      <w:r>
        <w:rPr>
          <w:b/>
        </w:rPr>
        <w:t>Does not show:</w:t>
      </w:r>
      <w:r>
        <w:t xml:space="preserve"> LLMs. </w:t>
      </w:r>
      <w:r>
        <w:rPr>
          <w:b/>
        </w:rPr>
        <w:t>So what:</w:t>
      </w:r>
      <w:r>
        <w:t xml:space="preserve"> C3 itself is weak on Zaid</w:t>
      </w:r>
    </w:p>
    <w:p>
      <w:r>
        <w:t>and under stress — the "reference" is not ground truth.</w:t>
      </w:r>
    </w:p>
    <w:p/>
    <w:p>
      <w:pPr>
        <w:pStyle w:val="Heading2"/>
      </w:pPr>
      <w:r>
        <w:t>Tables</w:t>
      </w:r>
    </w:p>
    <w:p>
      <w:pPr>
        <w:pStyle w:val="ListBullet"/>
      </w:pPr>
      <w:r>
        <w:rPr>
          <w:b/>
        </w:rPr>
        <w:t>T1_metrics.{csv,md,tex}</w:t>
      </w:r>
      <w:r>
        <w:t xml:space="preserve"> — per model × condition: n, Jaccard overlap with C3 [95% bootstrap CI], season</w:t>
      </w:r>
    </w:p>
    <w:p>
      <w:r>
        <w:t xml:space="preserve">  validity [95% CI], any-overlap rate [Wilson CI], valid-JSON [Wilson CI]. glm rows flagged </w:t>
      </w:r>
      <w:r>
        <w:rPr>
          <w:rFonts w:ascii="Consolas" w:hAnsi="Consolas"/>
          <w:sz w:val="18"/>
        </w:rPr>
        <w:t>preliminary</w:t>
      </w:r>
      <w:r>
        <w:t>.</w:t>
      </w:r>
    </w:p>
    <w:p>
      <w:pPr>
        <w:pStyle w:val="ListBullet"/>
      </w:pPr>
      <w:r>
        <w:rPr>
          <w:b/>
        </w:rPr>
        <w:t>T2_coverage.{csv,md}</w:t>
      </w:r>
      <w:r>
        <w:t xml:space="preserve"> — n scenarios, valid, errors, tool-round errors, preliminary flag per model × condition.</w:t>
      </w:r>
    </w:p>
    <w:p/>
    <w:p>
      <w:pPr>
        <w:pStyle w:val="Heading2"/>
      </w:pPr>
      <w:r>
        <w:t>Archived v1 figures — what was wrong or misleading</w:t>
      </w:r>
    </w:p>
    <w:p>
      <w:r>
        <w:t xml:space="preserve">Moved to </w:t>
      </w:r>
      <w:r>
        <w:rPr>
          <w:rFonts w:ascii="Consolas" w:hAnsi="Consolas"/>
          <w:sz w:val="18"/>
        </w:rPr>
        <w:t>eval/figures/archive_v1/</w:t>
      </w:r>
      <w:r>
        <w:t xml:space="preserve"> (not deleted). Reasons:</w:t>
      </w:r>
    </w:p>
    <w:p>
      <w:pPr>
        <w:pStyle w:val="ListBullet"/>
      </w:pPr>
      <w:r>
        <w:rPr>
          <w:b/>
        </w:rPr>
        <w:t>Fig_M01 valid_json_rate</w:t>
      </w:r>
      <w:r>
        <w:t xml:space="preserve"> — computed on post-normalisation top5, so it hid the normaliser bug; and it mixed</w:t>
      </w:r>
    </w:p>
    <w:p>
      <w:r>
        <w:t xml:space="preserve">  API errors with JSON errors. Superseded by </w:t>
      </w:r>
      <w:r>
        <w:rPr>
          <w:b/>
        </w:rPr>
        <w:t>Fig07</w:t>
      </w:r>
      <w:r>
        <w:t xml:space="preserve"> (separated, Wilson CIs).</w:t>
      </w:r>
    </w:p>
    <w:p>
      <w:pPr>
        <w:pStyle w:val="ListBullet"/>
      </w:pPr>
      <w:r>
        <w:rPr>
          <w:b/>
        </w:rPr>
        <w:t>Fig_M02 latency</w:t>
      </w:r>
      <w:r>
        <w:t xml:space="preserve"> — included error/retry-inflated records in the same summary and used a linear axis, hiding</w:t>
      </w:r>
    </w:p>
    <w:p>
      <w:r>
        <w:t xml:space="preserve">  glm's 400 s+ tail. Superseded by </w:t>
      </w:r>
      <w:r>
        <w:rPr>
          <w:b/>
        </w:rPr>
        <w:t>Fig08(a)</w:t>
      </w:r>
      <w:r>
        <w:t xml:space="preserve"> (log scale, non-error only).</w:t>
      </w:r>
    </w:p>
    <w:p>
      <w:pPr>
        <w:pStyle w:val="ListBullet"/>
      </w:pPr>
      <w:r>
        <w:rPr>
          <w:b/>
        </w:rPr>
        <w:t>Fig_M03 tokens_out</w:t>
      </w:r>
      <w:r>
        <w:t xml:space="preserve"> — single bars, no CI, no input/reasoning split framing. Superseded by </w:t>
      </w:r>
      <w:r>
        <w:rPr>
          <w:b/>
        </w:rPr>
        <w:t>Fig08(b)</w:t>
      </w:r>
      <w:r>
        <w:t>.</w:t>
      </w:r>
    </w:p>
    <w:p>
      <w:pPr>
        <w:pStyle w:val="ListBullet"/>
      </w:pPr>
      <w:r>
        <w:rPr>
          <w:b/>
        </w:rPr>
        <w:t>Fig_M04 tool_calls</w:t>
      </w:r>
      <w:r>
        <w:t xml:space="preserve"> — presented the mean tool-call count without flagging that ~12–14% of C2 responses made</w:t>
      </w:r>
    </w:p>
    <w:p>
      <w:r>
        <w:t xml:space="preserve">  </w:t>
      </w:r>
      <w:r>
        <w:rPr>
          <w:b/>
        </w:rPr>
        <w:t>zero</w:t>
      </w:r>
      <w:r>
        <w:t xml:space="preserve"> calls, overstating compliance. Superseded by </w:t>
      </w:r>
      <w:r>
        <w:rPr>
          <w:b/>
        </w:rPr>
        <w:t>Fig10(a)</w:t>
      </w:r>
      <w:r>
        <w:t xml:space="preserve"> (full distribution).</w:t>
      </w:r>
    </w:p>
    <w:p>
      <w:pPr>
        <w:pStyle w:val="ListBullet"/>
      </w:pPr>
      <w:r>
        <w:rPr>
          <w:b/>
        </w:rPr>
        <w:t>Fig_M05 agreement_c3</w:t>
      </w:r>
      <w:r>
        <w:t xml:space="preserve"> — used the buggy normaliser (dropped </w:t>
      </w:r>
      <w:r>
        <w:rPr>
          <w:rFonts w:ascii="Consolas" w:hAnsi="Consolas"/>
          <w:sz w:val="18"/>
        </w:rPr>
        <w:t>Sesame (Til)</w:t>
      </w:r>
      <w:r>
        <w:t>/</w:t>
      </w:r>
      <w:r>
        <w:rPr>
          <w:rFonts w:ascii="Consolas" w:hAnsi="Consolas"/>
          <w:sz w:val="18"/>
        </w:rPr>
        <w:t>Arhar (Tur)</w:t>
      </w:r>
      <w:r>
        <w:t>), deflating all</w:t>
      </w:r>
    </w:p>
    <w:p>
      <w:r>
        <w:t xml:space="preserve">  conditions; no CIs. Superseded by </w:t>
      </w:r>
      <w:r>
        <w:rPr>
          <w:b/>
        </w:rPr>
        <w:t>Fig02(b)</w:t>
      </w:r>
      <w:r>
        <w:t xml:space="preserve"> / </w:t>
      </w:r>
      <w:r>
        <w:rPr>
          <w:b/>
        </w:rPr>
        <w:t>Fig03</w:t>
      </w:r>
      <w:r>
        <w:t xml:space="preserve"> (fixed metrics, CIs, paired tests).</w:t>
      </w:r>
    </w:p>
    <w:p>
      <w:pPr>
        <w:pStyle w:val="ListBullet"/>
      </w:pPr>
      <w:r>
        <w:rPr>
          <w:b/>
        </w:rPr>
        <w:t>Fig_M06 hallucination</w:t>
      </w:r>
      <w:r>
        <w:t xml:space="preserve"> — showed "0%", which was an artifact of the normaliser dropping OOV names; the true</w:t>
      </w:r>
    </w:p>
    <w:p>
      <w:r>
        <w:t xml:space="preserve">  pre-fix rate was 6–14% but entirely the two mis-matched canonical crops. Superseded by the corrected framing in</w:t>
      </w:r>
    </w:p>
    <w:p>
      <w:r>
        <w:t xml:space="preserve">  this guide (§What the data says, point 4).</w:t>
      </w:r>
    </w:p>
    <w:p>
      <w:pPr>
        <w:pStyle w:val="ListBullet"/>
      </w:pPr>
      <w:r>
        <w:rPr>
          <w:b/>
        </w:rPr>
        <w:t>Fig_M07 season_validity</w:t>
      </w:r>
      <w:r>
        <w:t xml:space="preserve"> — plotted a single overall mean, hiding that Zaid collapses (≈0.2) and that C2 Rabi</w:t>
      </w:r>
    </w:p>
    <w:p>
      <w:r>
        <w:t xml:space="preserve">  collapses due to the live-tool bug. Superseded by </w:t>
      </w:r>
      <w:r>
        <w:rPr>
          <w:b/>
        </w:rPr>
        <w:t>Fig05</w:t>
      </w:r>
      <w:r>
        <w:t xml:space="preserve"> (by season) and </w:t>
      </w:r>
      <w:r>
        <w:rPr>
          <w:b/>
        </w:rPr>
        <w:t>Fig06</w:t>
      </w:r>
      <w:r>
        <w:t>.</w:t>
      </w:r>
    </w:p>
    <w:p>
      <w:pPr>
        <w:pStyle w:val="ListBullet"/>
      </w:pPr>
      <w:r>
        <w:rPr>
          <w:b/>
        </w:rPr>
        <w:t>Fig_M08 condition_gains</w:t>
      </w:r>
      <w:r>
        <w:t xml:space="preserve"> — implied a monotone "more context is better" gain and did not separate the C1</w:t>
      </w:r>
    </w:p>
    <w:p>
      <w:r>
        <w:t xml:space="preserve">  leakage from genuine gains. Superseded by </w:t>
      </w:r>
      <w:r>
        <w:rPr>
          <w:b/>
        </w:rPr>
        <w:t>Fig03</w:t>
      </w:r>
      <w:r>
        <w:t xml:space="preserve"> (honest paired contrasts).</w:t>
      </w:r>
    </w:p>
    <w:p>
      <w:pPr>
        <w:pStyle w:val="ListBullet"/>
      </w:pPr>
      <w:r>
        <w:rPr>
          <w:b/>
        </w:rPr>
        <w:t>Fig_M09 cost_reliability</w:t>
      </w:r>
      <w:r>
        <w:t xml:space="preserve"> — x/y definitions unclear and mixed conditions without the C3 reference. Superseded</w:t>
      </w:r>
    </w:p>
    <w:p>
      <w:r>
        <w:t xml:space="preserve">  by </w:t>
      </w:r>
      <w:r>
        <w:rPr>
          <w:b/>
        </w:rPr>
        <w:t>Fig09</w:t>
      </w:r>
      <w:r>
        <w:t xml:space="preserve"> (explicit Pareto frontier).</w:t>
      </w:r>
    </w:p>
    <w:p>
      <w:pPr>
        <w:pStyle w:val="ListBullet"/>
      </w:pPr>
      <w:r>
        <w:rPr>
          <w:b/>
        </w:rPr>
        <w:t>Fig_M10 sample_size</w:t>
      </w:r>
      <w:r>
        <w:t xml:space="preserve"> — a bar chart of n only. Superseded by </w:t>
      </w:r>
      <w:r>
        <w:rPr>
          <w:b/>
        </w:rPr>
        <w:t>T2</w:t>
      </w:r>
      <w:r>
        <w:t xml:space="preserve"> and the per-panel n labels used throughout.</w:t>
      </w:r>
    </w:p>
    <w:p>
      <w:r>
        <w:t>Cross-cutting v1 problems: (i) no C3 reference line; (ii) lines connecting unordered categories; (iii) no CIs;</w:t>
      </w:r>
    </w:p>
    <w:p>
      <w:r>
        <w:t>(iv) titles inside the plotting area; (v) in-figure gridlines/legends overlapping data; (vi) all metrics computed</w:t>
      </w:r>
    </w:p>
    <w:p>
      <w:r>
        <w:t>with the buggy normaliser.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