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4E79"/>
          <w:sz w:val="64"/>
          <w:szCs w:val="64"/>
        </w:rPr>
        <w:t xml:space="preserve">CRIMENET AI</w:t>
      </w:r>
    </w:p>
    <w:p>
      <w:pPr>
        <w:spacing w:after="100" w:before="160"/>
        <w:jc w:val="center"/>
      </w:pPr>
      <w:r>
        <w:rPr>
          <w:b/>
          <w:bCs/>
          <w:color w:val="C55A11"/>
          <w:sz w:val="30"/>
          <w:szCs w:val="30"/>
        </w:rPr>
        <w:t xml:space="preserve">AI-Powered Criminal Network Intelligence &amp; Analysis System</w:t>
      </w:r>
    </w:p>
    <w:p>
      <w:pPr>
        <w:spacing w:after="500"/>
        <w:jc w:val="center"/>
      </w:pPr>
      <w:r>
        <w:rPr>
          <w:i/>
          <w:iCs/>
          <w:color w:val="595959"/>
          <w:sz w:val="24"/>
          <w:szCs w:val="24"/>
        </w:rPr>
        <w:t xml:space="preserve">Consolidated Master Document — SIH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Attribute</w:t>
            </w:r>
          </w:p>
        </w:tc>
        <w:tc>
          <w:tcPr>
            <w:tcW w:type="dxa" w:w="6300"/>
            <w:shd w:fill="1F4E79" w:val="clear"/>
            <w:tcMar>
              <w:top w:type="dxa" w:w="80"/>
              <w:left w:type="dxa" w:w="100"/>
              <w:bottom w:type="dxa" w:w="80"/>
              <w:right w:type="dxa" w:w="100"/>
            </w:tcMar>
          </w:tcPr>
          <w:p>
            <w:r>
              <w:rPr>
                <w:b/>
                <w:bCs/>
                <w:color w:val="FFFFFF"/>
                <w:sz w:val="20"/>
                <w:szCs w:val="20"/>
              </w:rPr>
              <w:t xml:space="preserve">Value</w:t>
            </w:r>
          </w:p>
        </w:tc>
      </w:tr>
      <w:tr>
        <w:tc>
          <w:tcPr>
            <w:tcW w:type="dxa" w:w="3200"/>
            <w:shd w:fill="FFFFFF" w:val="clear"/>
            <w:tcMar>
              <w:top w:type="dxa" w:w="70"/>
              <w:left w:type="dxa" w:w="100"/>
              <w:bottom w:type="dxa" w:w="70"/>
              <w:right w:type="dxa" w:w="100"/>
            </w:tcMar>
          </w:tcPr>
          <w:p>
            <w:r>
              <w:rPr>
                <w:sz w:val="20"/>
                <w:szCs w:val="20"/>
              </w:rPr>
              <w:t xml:space="preserve">Problem Statement</w:t>
            </w:r>
          </w:p>
        </w:tc>
        <w:tc>
          <w:tcPr>
            <w:tcW w:type="dxa" w:w="6300"/>
            <w:shd w:fill="FFFFFF" w:val="clear"/>
            <w:tcMar>
              <w:top w:type="dxa" w:w="70"/>
              <w:left w:type="dxa" w:w="100"/>
              <w:bottom w:type="dxa" w:w="70"/>
              <w:right w:type="dxa" w:w="100"/>
            </w:tcMar>
          </w:tcPr>
          <w:p>
            <w:r>
              <w:rPr>
                <w:sz w:val="20"/>
                <w:szCs w:val="20"/>
              </w:rPr>
              <w:t xml:space="preserve">SIH26189</w:t>
            </w:r>
          </w:p>
        </w:tc>
      </w:tr>
      <w:tr>
        <w:tc>
          <w:tcPr>
            <w:tcW w:type="dxa" w:w="3200"/>
            <w:shd w:fill="F7F7F7" w:val="clear"/>
            <w:tcMar>
              <w:top w:type="dxa" w:w="70"/>
              <w:left w:type="dxa" w:w="100"/>
              <w:bottom w:type="dxa" w:w="70"/>
              <w:right w:type="dxa" w:w="100"/>
            </w:tcMar>
          </w:tcPr>
          <w:p>
            <w:r>
              <w:rPr>
                <w:sz w:val="20"/>
                <w:szCs w:val="20"/>
              </w:rPr>
              <w:t xml:space="preserve">Title</w:t>
            </w:r>
          </w:p>
        </w:tc>
        <w:tc>
          <w:tcPr>
            <w:tcW w:type="dxa" w:w="6300"/>
            <w:shd w:fill="F7F7F7" w:val="clear"/>
            <w:tcMar>
              <w:top w:type="dxa" w:w="70"/>
              <w:left w:type="dxa" w:w="100"/>
              <w:bottom w:type="dxa" w:w="70"/>
              <w:right w:type="dxa" w:w="100"/>
            </w:tcMar>
          </w:tcPr>
          <w:p>
            <w:r>
              <w:rPr>
                <w:sz w:val="20"/>
                <w:szCs w:val="20"/>
              </w:rPr>
              <w:t xml:space="preserve">AI-Powered Criminal Network Analysis System</w:t>
            </w:r>
          </w:p>
        </w:tc>
      </w:tr>
      <w:tr>
        <w:tc>
          <w:tcPr>
            <w:tcW w:type="dxa" w:w="3200"/>
            <w:shd w:fill="FFFFFF" w:val="clear"/>
            <w:tcMar>
              <w:top w:type="dxa" w:w="70"/>
              <w:left w:type="dxa" w:w="100"/>
              <w:bottom w:type="dxa" w:w="70"/>
              <w:right w:type="dxa" w:w="100"/>
            </w:tcMar>
          </w:tcPr>
          <w:p>
            <w:r>
              <w:rPr>
                <w:sz w:val="20"/>
                <w:szCs w:val="20"/>
              </w:rPr>
              <w:t xml:space="preserve">Organization</w:t>
            </w:r>
          </w:p>
        </w:tc>
        <w:tc>
          <w:tcPr>
            <w:tcW w:type="dxa" w:w="6300"/>
            <w:shd w:fill="FFFFFF" w:val="clear"/>
            <w:tcMar>
              <w:top w:type="dxa" w:w="70"/>
              <w:left w:type="dxa" w:w="100"/>
              <w:bottom w:type="dxa" w:w="70"/>
              <w:right w:type="dxa" w:w="100"/>
            </w:tcMar>
          </w:tcPr>
          <w:p>
            <w:r>
              <w:rPr>
                <w:sz w:val="20"/>
                <w:szCs w:val="20"/>
              </w:rPr>
              <w:t xml:space="preserve">Ministry of Home Affairs, Government of India</w:t>
            </w:r>
          </w:p>
        </w:tc>
      </w:tr>
      <w:tr>
        <w:tc>
          <w:tcPr>
            <w:tcW w:type="dxa" w:w="3200"/>
            <w:shd w:fill="F7F7F7" w:val="clear"/>
            <w:tcMar>
              <w:top w:type="dxa" w:w="70"/>
              <w:left w:type="dxa" w:w="100"/>
              <w:bottom w:type="dxa" w:w="70"/>
              <w:right w:type="dxa" w:w="100"/>
            </w:tcMar>
          </w:tcPr>
          <w:p>
            <w:r>
              <w:rPr>
                <w:sz w:val="20"/>
                <w:szCs w:val="20"/>
              </w:rPr>
              <w:t xml:space="preserve">Category / Theme</w:t>
            </w:r>
          </w:p>
        </w:tc>
        <w:tc>
          <w:tcPr>
            <w:tcW w:type="dxa" w:w="6300"/>
            <w:shd w:fill="F7F7F7" w:val="clear"/>
            <w:tcMar>
              <w:top w:type="dxa" w:w="70"/>
              <w:left w:type="dxa" w:w="100"/>
              <w:bottom w:type="dxa" w:w="70"/>
              <w:right w:type="dxa" w:w="100"/>
            </w:tcMar>
          </w:tcPr>
          <w:p>
            <w:r>
              <w:rPr>
                <w:sz w:val="20"/>
                <w:szCs w:val="20"/>
              </w:rPr>
              <w:t xml:space="preserve">Software — Blockchain &amp; Cybersecurity</w:t>
            </w:r>
          </w:p>
        </w:tc>
      </w:tr>
      <w:tr>
        <w:tc>
          <w:tcPr>
            <w:tcW w:type="dxa" w:w="3200"/>
            <w:shd w:fill="FFFFFF" w:val="clear"/>
            <w:tcMar>
              <w:top w:type="dxa" w:w="70"/>
              <w:left w:type="dxa" w:w="100"/>
              <w:bottom w:type="dxa" w:w="70"/>
              <w:right w:type="dxa" w:w="100"/>
            </w:tcMar>
          </w:tcPr>
          <w:p>
            <w:r>
              <w:rPr>
                <w:sz w:val="20"/>
                <w:szCs w:val="20"/>
              </w:rPr>
              <w:t xml:space="preserve">Document Scope</w:t>
            </w:r>
          </w:p>
        </w:tc>
        <w:tc>
          <w:tcPr>
            <w:tcW w:type="dxa" w:w="6300"/>
            <w:shd w:fill="FFFFFF" w:val="clear"/>
            <w:tcMar>
              <w:top w:type="dxa" w:w="70"/>
              <w:left w:type="dxa" w:w="100"/>
              <w:bottom w:type="dxa" w:w="70"/>
              <w:right w:type="dxa" w:w="100"/>
            </w:tcMar>
          </w:tcPr>
          <w:p>
            <w:r>
              <w:rPr>
                <w:sz w:val="20"/>
                <w:szCs w:val="20"/>
              </w:rPr>
              <w:t xml:space="preserve">Consolidated summary of Parts 1–5 + new Part 6 (Data Architecture) + gap-fixes</w:t>
            </w:r>
          </w:p>
        </w:tc>
      </w:tr>
      <w:tr>
        <w:tc>
          <w:tcPr>
            <w:tcW w:type="dxa" w:w="3200"/>
            <w:shd w:fill="F7F7F7" w:val="clear"/>
            <w:tcMar>
              <w:top w:type="dxa" w:w="70"/>
              <w:left w:type="dxa" w:w="100"/>
              <w:bottom w:type="dxa" w:w="70"/>
              <w:right w:type="dxa" w:w="100"/>
            </w:tcMar>
          </w:tcPr>
          <w:p>
            <w:r>
              <w:rPr>
                <w:sz w:val="20"/>
                <w:szCs w:val="20"/>
              </w:rPr>
              <w:t xml:space="preserve">Version</w:t>
            </w:r>
          </w:p>
        </w:tc>
        <w:tc>
          <w:tcPr>
            <w:tcW w:type="dxa" w:w="6300"/>
            <w:shd w:fill="F7F7F7" w:val="clear"/>
            <w:tcMar>
              <w:top w:type="dxa" w:w="70"/>
              <w:left w:type="dxa" w:w="100"/>
              <w:bottom w:type="dxa" w:w="70"/>
              <w:right w:type="dxa" w:w="100"/>
            </w:tcMar>
          </w:tcPr>
          <w:p>
            <w:r>
              <w:rPr>
                <w:sz w:val="20"/>
                <w:szCs w:val="20"/>
              </w:rPr>
              <w:t xml:space="preserve">v1.0 — Master Consolidated Edition</w:t>
            </w:r>
          </w:p>
        </w:tc>
      </w:tr>
    </w:tbl>
    <w:p>
      <w:r>
        <w:br w:type="page"/>
      </w:r>
    </w:p>
    <w:p>
      <w:pPr>
        <w:pStyle w:val="Heading1"/>
        <w:pBdr>
          <w:bottom w:val="single" w:color="1F4E79" w:sz="8" w:space="4"/>
        </w:pBdr>
        <w:spacing w:after="160" w:before="360"/>
      </w:pPr>
      <w:r>
        <w:rPr>
          <w:b/>
          <w:bCs/>
          <w:color w:val="1F4E79"/>
        </w:rPr>
        <w:t xml:space="preserve">Contents</w:t>
      </w:r>
    </w:p>
    <w:p>
      <w:pPr>
        <w:pStyle w:val="ListParagraph"/>
        <w:numPr>
          <w:ilvl w:val="0"/>
          <w:numId w:val="1"/>
        </w:numPr>
        <w:spacing w:after="70"/>
      </w:pPr>
      <w:r>
        <w:t xml:space="preserve">1. Executive Summary</w:t>
      </w:r>
    </w:p>
    <w:p>
      <w:pPr>
        <w:pStyle w:val="ListParagraph"/>
        <w:numPr>
          <w:ilvl w:val="0"/>
          <w:numId w:val="1"/>
        </w:numPr>
        <w:spacing w:after="70"/>
      </w:pPr>
      <w:r>
        <w:t xml:space="preserve">2. The Problem, In One Page</w:t>
      </w:r>
    </w:p>
    <w:p>
      <w:pPr>
        <w:pStyle w:val="ListParagraph"/>
        <w:numPr>
          <w:ilvl w:val="0"/>
          <w:numId w:val="1"/>
        </w:numPr>
        <w:spacing w:after="70"/>
      </w:pPr>
      <w:r>
        <w:t xml:space="preserve">3. Product Vision &amp; What We Will NOT Claim</w:t>
      </w:r>
    </w:p>
    <w:p>
      <w:pPr>
        <w:pStyle w:val="ListParagraph"/>
        <w:numPr>
          <w:ilvl w:val="0"/>
          <w:numId w:val="1"/>
        </w:numPr>
        <w:spacing w:after="70"/>
      </w:pPr>
      <w:r>
        <w:t xml:space="preserve">4. End-to-End System Architecture</w:t>
      </w:r>
    </w:p>
    <w:p>
      <w:pPr>
        <w:pStyle w:val="ListParagraph"/>
        <w:numPr>
          <w:ilvl w:val="0"/>
          <w:numId w:val="1"/>
        </w:numPr>
        <w:spacing w:after="70"/>
      </w:pPr>
      <w:r>
        <w:t xml:space="preserve">5. AI / ML Intelligence Engine (Condensed)</w:t>
      </w:r>
    </w:p>
    <w:p>
      <w:pPr>
        <w:pStyle w:val="ListParagraph"/>
        <w:numPr>
          <w:ilvl w:val="0"/>
          <w:numId w:val="1"/>
        </w:numPr>
        <w:spacing w:after="70"/>
      </w:pPr>
      <w:r>
        <w:t xml:space="preserve">6. Investigator UX (Condensed)</w:t>
      </w:r>
    </w:p>
    <w:p>
      <w:pPr>
        <w:pStyle w:val="ListParagraph"/>
        <w:numPr>
          <w:ilvl w:val="0"/>
          <w:numId w:val="1"/>
        </w:numPr>
        <w:spacing w:after="70"/>
      </w:pPr>
      <w:r>
        <w:t xml:space="preserve">7. Part 6 — Data Architecture, Knowledge Graph Schema &amp; Database Design</w:t>
      </w:r>
    </w:p>
    <w:p>
      <w:pPr>
        <w:pStyle w:val="ListParagraph"/>
        <w:numPr>
          <w:ilvl w:val="0"/>
          <w:numId w:val="1"/>
        </w:numPr>
        <w:spacing w:after="70"/>
      </w:pPr>
      <w:r>
        <w:t xml:space="preserve">8. Risks &amp; Mitigations (Expanded)</w:t>
      </w:r>
    </w:p>
    <w:p>
      <w:pPr>
        <w:pStyle w:val="ListParagraph"/>
        <w:numPr>
          <w:ilvl w:val="0"/>
          <w:numId w:val="1"/>
        </w:numPr>
        <w:spacing w:after="70"/>
      </w:pPr>
      <w:r>
        <w:t xml:space="preserve">9. Synthetic Data Strategy (Fixed Gap)</w:t>
      </w:r>
    </w:p>
    <w:p>
      <w:pPr>
        <w:pStyle w:val="ListParagraph"/>
        <w:numPr>
          <w:ilvl w:val="0"/>
          <w:numId w:val="1"/>
        </w:numPr>
        <w:spacing w:after="70"/>
      </w:pPr>
      <w:r>
        <w:t xml:space="preserve">10. MVP Scope Cut &amp; Team-to-Module Mapping (Fixed Gap)</w:t>
      </w:r>
    </w:p>
    <w:p>
      <w:pPr>
        <w:pStyle w:val="ListParagraph"/>
        <w:numPr>
          <w:ilvl w:val="0"/>
          <w:numId w:val="1"/>
        </w:numPr>
        <w:spacing w:after="70"/>
      </w:pPr>
      <w:r>
        <w:t xml:space="preserve">11. Build Roadmap</w:t>
      </w:r>
    </w:p>
    <w:p>
      <w:pPr>
        <w:pStyle w:val="ListParagraph"/>
        <w:numPr>
          <w:ilvl w:val="0"/>
          <w:numId w:val="1"/>
        </w:numPr>
        <w:spacing w:after="70"/>
      </w:pPr>
      <w:r>
        <w:t xml:space="preserve">12. Overall Assessment &amp; Recommendations</w:t>
      </w:r>
    </w:p>
    <w:p>
      <w:r>
        <w:br w:type="page"/>
      </w:r>
    </w:p>
    <w:p>
      <w:pPr>
        <w:pStyle w:val="Heading1"/>
        <w:pBdr>
          <w:bottom w:val="single" w:color="1F4E79" w:sz="8" w:space="4"/>
        </w:pBdr>
        <w:spacing w:after="160" w:before="360"/>
      </w:pPr>
      <w:r>
        <w:rPr>
          <w:b/>
          <w:bCs/>
          <w:color w:val="1F4E79"/>
        </w:rPr>
        <w:t xml:space="preserve">1. Executive Summary</w:t>
      </w:r>
    </w:p>
    <w:p>
      <w:pPr>
        <w:spacing w:after="140" w:line="300"/>
      </w:pPr>
      <w:r>
        <w:t xml:space="preserve">CRIMENET AI turns fragmented, heterogeneous investigation data — FIRs, call detail records (CDRs), financial transactions, surveillance reports, social-media intelligence — into a structured Criminal Intelligence Knowledge Graph, then applies AI/NLP and graph analytics to surface relationships, key players, and suspicious patterns for investigators. It is built as an AI-assisted decision-support tool, not an autonomous decision-maker.</w:t>
      </w:r>
    </w:p>
    <w:tbl>
      <w:tblPr>
        <w:tblW w:type="pct" w:w="10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80"/>
            </w:pPr>
            <w:r>
              <w:rPr>
                <w:b/>
                <w:bCs/>
                <w:color w:val="1F4E79"/>
              </w:rPr>
              <w:t xml:space="preserve">Core Principle</w:t>
            </w:r>
          </w:p>
          <w:p>
            <w:pPr>
              <w:spacing w:after="40"/>
            </w:pPr>
            <w:r>
              <w:rPr>
                <w:sz w:val="20"/>
                <w:szCs w:val="20"/>
              </w:rPr>
              <w:t xml:space="preserve">• Extract → Reconcile → Connect → Analyze → Explain → Assist</w:t>
            </w:r>
          </w:p>
          <w:p>
            <w:pPr>
              <w:spacing w:after="40"/>
            </w:pPr>
            <w:r>
              <w:rPr>
                <w:sz w:val="20"/>
                <w:szCs w:val="20"/>
              </w:rPr>
              <w:t xml:space="preserve">• — not the naive "Upload → Generate Graph" approach most competing teams will pitch.</w:t>
            </w:r>
          </w:p>
        </w:tc>
      </w:tr>
    </w:tbl>
    <w:p>
      <w:pPr>
        <w:pStyle w:val="Heading2"/>
        <w:spacing w:after="120" w:before="260"/>
      </w:pPr>
      <w:r>
        <w:rPr>
          <w:b/>
          <w:bCs/>
          <w:color w:val="C55A11"/>
        </w:rPr>
        <w:t xml:space="preserve">Why this stands out</w:t>
      </w:r>
    </w:p>
    <w:p>
      <w:pPr>
        <w:pStyle w:val="ListParagraph"/>
        <w:numPr>
          <w:ilvl w:val="0"/>
          <w:numId w:val="1"/>
        </w:numPr>
        <w:spacing w:after="70"/>
      </w:pPr>
      <w:r>
        <w:t xml:space="preserve">Hybrid AI philosophy: deterministic code, NLP, ML, and graph algorithms each do the job they're best at — the LLM is only used for interaction and evidence-grounded explanation.</w:t>
      </w:r>
    </w:p>
    <w:p>
      <w:pPr>
        <w:pStyle w:val="ListParagraph"/>
        <w:numPr>
          <w:ilvl w:val="0"/>
          <w:numId w:val="1"/>
        </w:numPr>
        <w:spacing w:after="70"/>
      </w:pPr>
      <w:r>
        <w:t xml:space="preserve">Evidence provenance is mandatory for every important relationship — nothing the system claims is un-traceable.</w:t>
      </w:r>
    </w:p>
    <w:p>
      <w:pPr>
        <w:pStyle w:val="ListParagraph"/>
        <w:numPr>
          <w:ilvl w:val="0"/>
          <w:numId w:val="1"/>
        </w:numPr>
        <w:spacing w:after="70"/>
      </w:pPr>
      <w:r>
        <w:t xml:space="preserve">Explicit ethical boundaries (Section 3) — the system never claims to determine guilt.</w:t>
      </w:r>
    </w:p>
    <w:p>
      <w:pPr>
        <w:pStyle w:val="ListParagraph"/>
        <w:numPr>
          <w:ilvl w:val="0"/>
          <w:numId w:val="1"/>
        </w:numPr>
        <w:spacing w:after="70"/>
      </w:pPr>
      <w:r>
        <w:t xml:space="preserve">A working data-and-graph pipeline is the flagship deliverable; the LLM layer is an enhancement, not the dependency.</w:t>
      </w:r>
    </w:p>
    <w:p>
      <w:r>
        <w:br w:type="page"/>
      </w:r>
    </w:p>
    <w:p>
      <w:pPr>
        <w:pStyle w:val="Heading1"/>
        <w:pBdr>
          <w:bottom w:val="single" w:color="1F4E79" w:sz="8" w:space="4"/>
        </w:pBdr>
        <w:spacing w:after="160" w:before="360"/>
      </w:pPr>
      <w:r>
        <w:rPr>
          <w:b/>
          <w:bCs/>
          <w:color w:val="1F4E79"/>
        </w:rPr>
        <w:t xml:space="preserve">2. The Problem, In One Page</w:t>
      </w:r>
    </w:p>
    <w:p>
      <w:pPr>
        <w:spacing w:after="140" w:line="300"/>
      </w:pPr>
      <w:r>
        <w:t xml:space="preserve">Investigations today are not blocked by a lack of data — they're blocked by fragmentation. Case-relevant information is scattered across FIRs, police reports, CDRs, bank transaction logs, surveillance notes, and social media, in different formats and systems. Investigators manually stitch together relationships between entities (people, phones, vehicles, accounts, locations, organizations, events) that appear inconsistently across these sources.</w:t>
      </w:r>
    </w:p>
    <w:p>
      <w:pPr>
        <w:pStyle w:val="Heading2"/>
        <w:spacing w:after="120" w:before="260"/>
      </w:pPr>
      <w:r>
        <w:rPr>
          <w:b/>
          <w:bCs/>
          <w:color w:val="C55A11"/>
        </w:rPr>
        <w:t xml:space="preserve">Core entities the system must track</w:t>
      </w:r>
    </w:p>
    <w:p>
      <w:pPr>
        <w:spacing w:after="200"/>
      </w:pPr>
      <w:r>
        <w:rPr>
          <w:b/>
          <w:bCs/>
          <w:color w:val="1F4E79"/>
        </w:rPr>
        <w:t xml:space="preserve">Person · Phone Number · Vehicle · Bank Account · Location · Organization · Event · Case</w:t>
      </w:r>
    </w:p>
    <w:p>
      <w:pPr>
        <w:pStyle w:val="Heading2"/>
        <w:spacing w:after="120" w:before="260"/>
      </w:pPr>
      <w:r>
        <w:rPr>
          <w:b/>
          <w:bCs/>
          <w:color w:val="C55A11"/>
        </w:rPr>
        <w:t xml:space="preserve">Why this is a fusion problem, not a visualization problem</w:t>
      </w:r>
    </w:p>
    <w:p>
      <w:pPr>
        <w:spacing w:after="140" w:line="300"/>
      </w:pPr>
      <w:r>
        <w:t xml:space="preserve">SIH26189 is best understood as a multisource intelligence fusion and relationship-analysis problem. A graph is the output representation — the hard part is getting clean, resolved, evidence-linked entities and relationships into that graph in the first place.</w:t>
      </w:r>
    </w:p>
    <w:p>
      <w:r>
        <w:br w:type="page"/>
      </w:r>
    </w:p>
    <w:p>
      <w:pPr>
        <w:pStyle w:val="Heading1"/>
        <w:pBdr>
          <w:bottom w:val="single" w:color="1F4E79" w:sz="8" w:space="4"/>
        </w:pBdr>
        <w:spacing w:after="160" w:before="360"/>
      </w:pPr>
      <w:r>
        <w:rPr>
          <w:b/>
          <w:bCs/>
          <w:color w:val="1F4E79"/>
        </w:rPr>
        <w:t xml:space="preserve">3. Product Vision &amp; What We Will NOT Claim</w:t>
      </w:r>
    </w:p>
    <w:p>
      <w:pPr>
        <w:spacing w:after="140" w:line="300"/>
      </w:pPr>
      <w:r>
        <w:rPr>
          <w:i/>
          <w:iCs/>
        </w:rPr>
        <w:t xml:space="preserve">CRIMENET AI is positioned as: "A decision-support and intelligence-discovery system that helps authorized investigators understand complex networks while preserving evidence provenance and human oversight."</w:t>
      </w:r>
    </w:p>
    <w:p>
      <w:pPr>
        <w:pStyle w:val="Heading2"/>
        <w:spacing w:after="120" w:before="260"/>
      </w:pPr>
      <w:r>
        <w:rPr>
          <w:b/>
          <w:bCs/>
          <w:color w:val="C55A11"/>
        </w:rPr>
        <w:t xml:space="preserve">Explicit non-claims (this is a strength, not a hedge)</w:t>
      </w:r>
    </w:p>
    <w:p>
      <w:pPr>
        <w:pStyle w:val="ListParagraph"/>
        <w:numPr>
          <w:ilvl w:val="0"/>
          <w:numId w:val="1"/>
        </w:numPr>
        <w:spacing w:after="70"/>
      </w:pPr>
      <w:r>
        <w:t xml:space="preserve">That AI can determine guilt.</w:t>
      </w:r>
    </w:p>
    <w:p>
      <w:pPr>
        <w:pStyle w:val="ListParagraph"/>
        <w:numPr>
          <w:ilvl w:val="0"/>
          <w:numId w:val="1"/>
        </w:numPr>
        <w:spacing w:after="70"/>
      </w:pPr>
      <w:r>
        <w:t xml:space="preserve">That graph centrality proves criminal involvement.</w:t>
      </w:r>
    </w:p>
    <w:p>
      <w:pPr>
        <w:pStyle w:val="ListParagraph"/>
        <w:numPr>
          <w:ilvl w:val="0"/>
          <w:numId w:val="1"/>
        </w:numPr>
        <w:spacing w:after="70"/>
      </w:pPr>
      <w:r>
        <w:t xml:space="preserve">That an association automatically means criminal association.</w:t>
      </w:r>
    </w:p>
    <w:p>
      <w:pPr>
        <w:pStyle w:val="ListParagraph"/>
        <w:numPr>
          <w:ilvl w:val="0"/>
          <w:numId w:val="1"/>
        </w:numPr>
        <w:spacing w:after="70"/>
      </w:pPr>
      <w:r>
        <w:t xml:space="preserve">That synthetic-data performance equals field performance.</w:t>
      </w:r>
    </w:p>
    <w:p>
      <w:pPr>
        <w:pStyle w:val="ListParagraph"/>
        <w:numPr>
          <w:ilvl w:val="0"/>
          <w:numId w:val="1"/>
        </w:numPr>
        <w:spacing w:after="70"/>
      </w:pPr>
      <w:r>
        <w:t xml:space="preserve">That AI predictions are infallible.</w:t>
      </w:r>
    </w:p>
    <w:p>
      <w:pPr>
        <w:pStyle w:val="ListParagraph"/>
        <w:numPr>
          <w:ilvl w:val="0"/>
          <w:numId w:val="1"/>
        </w:numPr>
        <w:spacing w:after="70"/>
      </w:pPr>
      <w:r>
        <w:t xml:space="preserve">That every detected relationship is genuine.</w:t>
      </w:r>
    </w:p>
    <w:p>
      <w:pPr>
        <w:pStyle w:val="ListParagraph"/>
        <w:numPr>
          <w:ilvl w:val="0"/>
          <w:numId w:val="1"/>
        </w:numPr>
        <w:spacing w:after="70"/>
      </w:pPr>
      <w:r>
        <w:t xml:space="preserve">That the system replaces investigators.</w:t>
      </w:r>
    </w:p>
    <w:p>
      <w:pPr>
        <w:pStyle w:val="ListParagraph"/>
        <w:numPr>
          <w:ilvl w:val="0"/>
          <w:numId w:val="1"/>
        </w:numPr>
        <w:spacing w:after="70"/>
      </w:pPr>
      <w:r>
        <w:t xml:space="preserve">That the system can autonomously make enforcement decisions.</w:t>
      </w:r>
    </w:p>
    <w:p>
      <w:pPr>
        <w:spacing w:after="140" w:line="300"/>
      </w:pPr>
      <w:r>
        <w:rPr>
          <w:b/>
          <w:bCs/>
        </w:rPr>
        <w:t xml:space="preserve">Keep this section prominent in the pitch deck — for an MHA-sponsored, civil-liberties-adjacent problem statement, judges will actively look for exactly this kind of self-awareness.</w:t>
      </w:r>
    </w:p>
    <w:p>
      <w:r>
        <w:br w:type="page"/>
      </w:r>
    </w:p>
    <w:p>
      <w:pPr>
        <w:pStyle w:val="Heading1"/>
        <w:pBdr>
          <w:bottom w:val="single" w:color="1F4E79" w:sz="8" w:space="4"/>
        </w:pBdr>
        <w:spacing w:after="160" w:before="360"/>
      </w:pPr>
      <w:r>
        <w:rPr>
          <w:b/>
          <w:bCs/>
          <w:color w:val="1F4E79"/>
        </w:rPr>
        <w:t xml:space="preserve">4. End-to-End System Architecture</w:t>
      </w:r>
    </w:p>
    <w:p>
      <w:pPr>
        <w:spacing w:after="140" w:line="300"/>
      </w:pPr>
      <w:r>
        <w:t xml:space="preserve">The system follows a layered pipeline. Each layer is independently replaceable (modular design principle A2), and analytical outputs preserve provenance back to source evidence (A3).</w:t>
      </w:r>
    </w:p>
    <w:p>
      <w:pPr>
        <w:spacing w:after="220" w:before="120"/>
        <w:jc w:val="center"/>
      </w:pPr>
      <w:r>
        <w:drawing>
          <wp:inline distT="0" distB="0" distL="0" distR="0">
            <wp:extent cx="59436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8125"/>
                    </a:xfrm>
                    <a:prstGeom prst="rect">
                      <a:avLst/>
                    </a:prstGeom>
                  </pic:spPr>
                </pic:pic>
              </a:graphicData>
            </a:graphic>
          </wp:inline>
        </w:drawing>
      </w:r>
    </w:p>
    <w:p>
      <w:pPr>
        <w:spacing w:after="260"/>
        <w:jc w:val="center"/>
      </w:pPr>
      <w:r>
        <w:rPr>
          <w:i/>
          <w:iCs/>
          <w:color w:val="595959"/>
          <w:sz w:val="18"/>
          <w:szCs w:val="18"/>
        </w:rPr>
        <w:t xml:space="preserve">Figure 1 — End-to-end data-to-decision pipeline</w:t>
      </w:r>
    </w:p>
    <w:p>
      <w:pPr>
        <w:pStyle w:val="Heading2"/>
        <w:spacing w:after="120" w:before="260"/>
      </w:pPr>
      <w:r>
        <w:rPr>
          <w:b/>
          <w:bCs/>
          <w:color w:val="C55A11"/>
        </w:rPr>
        <w:t xml:space="preserve">Architectural objectives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Objective</w:t>
            </w:r>
          </w:p>
        </w:tc>
        <w:tc>
          <w:tcPr>
            <w:tcW w:type="dxa" w:w="6900"/>
            <w:shd w:fill="1F4E79" w:val="clear"/>
            <w:tcMar>
              <w:top w:type="dxa" w:w="80"/>
              <w:left w:type="dxa" w:w="100"/>
              <w:bottom w:type="dxa" w:w="80"/>
              <w:right w:type="dxa" w:w="100"/>
            </w:tcMar>
          </w:tcPr>
          <w:p>
            <w:r>
              <w:rPr>
                <w:b/>
                <w:bCs/>
                <w:color w:val="FFFFFF"/>
                <w:sz w:val="20"/>
                <w:szCs w:val="20"/>
              </w:rPr>
              <w:t xml:space="preserve">Meaning</w:t>
            </w:r>
          </w:p>
        </w:tc>
      </w:tr>
      <w:tr>
        <w:tc>
          <w:tcPr>
            <w:tcW w:type="dxa" w:w="2600"/>
            <w:shd w:fill="FFFFFF" w:val="clear"/>
            <w:tcMar>
              <w:top w:type="dxa" w:w="70"/>
              <w:left w:type="dxa" w:w="100"/>
              <w:bottom w:type="dxa" w:w="70"/>
              <w:right w:type="dxa" w:w="100"/>
            </w:tcMar>
          </w:tcPr>
          <w:p>
            <w:r>
              <w:rPr>
                <w:sz w:val="20"/>
                <w:szCs w:val="20"/>
              </w:rPr>
              <w:t xml:space="preserve">A1 — Multisource</w:t>
            </w:r>
          </w:p>
        </w:tc>
        <w:tc>
          <w:tcPr>
            <w:tcW w:type="dxa" w:w="6900"/>
            <w:shd w:fill="FFFFFF" w:val="clear"/>
            <w:tcMar>
              <w:top w:type="dxa" w:w="70"/>
              <w:left w:type="dxa" w:w="100"/>
              <w:bottom w:type="dxa" w:w="70"/>
              <w:right w:type="dxa" w:w="100"/>
            </w:tcMar>
          </w:tcPr>
          <w:p>
            <w:r>
              <w:rPr>
                <w:sz w:val="20"/>
                <w:szCs w:val="20"/>
              </w:rPr>
              <w:t xml:space="preserve">Support heterogeneous investigation data (structured + unstructured).</w:t>
            </w:r>
          </w:p>
        </w:tc>
      </w:tr>
      <w:tr>
        <w:tc>
          <w:tcPr>
            <w:tcW w:type="dxa" w:w="2600"/>
            <w:shd w:fill="F7F7F7" w:val="clear"/>
            <w:tcMar>
              <w:top w:type="dxa" w:w="70"/>
              <w:left w:type="dxa" w:w="100"/>
              <w:bottom w:type="dxa" w:w="70"/>
              <w:right w:type="dxa" w:w="100"/>
            </w:tcMar>
          </w:tcPr>
          <w:p>
            <w:r>
              <w:rPr>
                <w:sz w:val="20"/>
                <w:szCs w:val="20"/>
              </w:rPr>
              <w:t xml:space="preserve">A2 — Modular</w:t>
            </w:r>
          </w:p>
        </w:tc>
        <w:tc>
          <w:tcPr>
            <w:tcW w:type="dxa" w:w="6900"/>
            <w:shd w:fill="F7F7F7" w:val="clear"/>
            <w:tcMar>
              <w:top w:type="dxa" w:w="70"/>
              <w:left w:type="dxa" w:w="100"/>
              <w:bottom w:type="dxa" w:w="70"/>
              <w:right w:type="dxa" w:w="100"/>
            </w:tcMar>
          </w:tcPr>
          <w:p>
            <w:r>
              <w:rPr>
                <w:sz w:val="20"/>
                <w:szCs w:val="20"/>
              </w:rPr>
              <w:t xml:space="preserve">Each major subsystem is independently replaceable.</w:t>
            </w:r>
          </w:p>
        </w:tc>
      </w:tr>
      <w:tr>
        <w:tc>
          <w:tcPr>
            <w:tcW w:type="dxa" w:w="2600"/>
            <w:shd w:fill="FFFFFF" w:val="clear"/>
            <w:tcMar>
              <w:top w:type="dxa" w:w="70"/>
              <w:left w:type="dxa" w:w="100"/>
              <w:bottom w:type="dxa" w:w="70"/>
              <w:right w:type="dxa" w:w="100"/>
            </w:tcMar>
          </w:tcPr>
          <w:p>
            <w:r>
              <w:rPr>
                <w:sz w:val="20"/>
                <w:szCs w:val="20"/>
              </w:rPr>
              <w:t xml:space="preserve">A3 — Evidence-Aware</w:t>
            </w:r>
          </w:p>
        </w:tc>
        <w:tc>
          <w:tcPr>
            <w:tcW w:type="dxa" w:w="6900"/>
            <w:shd w:fill="FFFFFF" w:val="clear"/>
            <w:tcMar>
              <w:top w:type="dxa" w:w="70"/>
              <w:left w:type="dxa" w:w="100"/>
              <w:bottom w:type="dxa" w:w="70"/>
              <w:right w:type="dxa" w:w="100"/>
            </w:tcMar>
          </w:tcPr>
          <w:p>
            <w:r>
              <w:rPr>
                <w:sz w:val="20"/>
                <w:szCs w:val="20"/>
              </w:rPr>
              <w:t xml:space="preserve">Analytical results must preserve provenance to source documents.</w:t>
            </w:r>
          </w:p>
        </w:tc>
      </w:tr>
      <w:tr>
        <w:tc>
          <w:tcPr>
            <w:tcW w:type="dxa" w:w="2600"/>
            <w:shd w:fill="F7F7F7" w:val="clear"/>
            <w:tcMar>
              <w:top w:type="dxa" w:w="70"/>
              <w:left w:type="dxa" w:w="100"/>
              <w:bottom w:type="dxa" w:w="70"/>
              <w:right w:type="dxa" w:w="100"/>
            </w:tcMar>
          </w:tcPr>
          <w:p>
            <w:r>
              <w:rPr>
                <w:sz w:val="20"/>
                <w:szCs w:val="20"/>
              </w:rPr>
              <w:t xml:space="preserve">A4 — Explainable</w:t>
            </w:r>
          </w:p>
        </w:tc>
        <w:tc>
          <w:tcPr>
            <w:tcW w:type="dxa" w:w="6900"/>
            <w:shd w:fill="F7F7F7" w:val="clear"/>
            <w:tcMar>
              <w:top w:type="dxa" w:w="70"/>
              <w:left w:type="dxa" w:w="100"/>
              <w:bottom w:type="dxa" w:w="70"/>
              <w:right w:type="dxa" w:w="100"/>
            </w:tcMar>
          </w:tcPr>
          <w:p>
            <w:r>
              <w:rPr>
                <w:sz w:val="20"/>
                <w:szCs w:val="20"/>
              </w:rPr>
              <w:t xml:space="preserve">Important AI outputs must have supporting evidence, never a bare score.</w:t>
            </w:r>
          </w:p>
        </w:tc>
      </w:tr>
    </w:tbl>
    <w:p>
      <w:r>
        <w:br w:type="page"/>
      </w:r>
    </w:p>
    <w:p>
      <w:pPr>
        <w:pStyle w:val="Heading1"/>
        <w:pBdr>
          <w:bottom w:val="single" w:color="1F4E79" w:sz="8" w:space="4"/>
        </w:pBdr>
        <w:spacing w:after="160" w:before="360"/>
      </w:pPr>
      <w:r>
        <w:rPr>
          <w:b/>
          <w:bCs/>
          <w:color w:val="1F4E79"/>
        </w:rPr>
        <w:t xml:space="preserve">5. AI / ML Intelligence Engine (Condensed)</w:t>
      </w:r>
    </w:p>
    <w:p>
      <w:pPr>
        <w:pStyle w:val="Heading2"/>
        <w:spacing w:after="120" w:before="260"/>
      </w:pPr>
      <w:r>
        <w:rPr>
          <w:b/>
          <w:bCs/>
          <w:color w:val="C55A11"/>
        </w:rPr>
        <w:t xml:space="preserve">Design principle</w:t>
      </w:r>
    </w:p>
    <w:p>
      <w:pPr>
        <w:spacing w:after="140" w:line="300"/>
      </w:pPr>
      <w:r>
        <w:t xml:space="preserve">"Not every problem should be solved with an LLM." The engine is a pipeline of purpose-built components, not a single model doing everything.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4E79" w:val="clear"/>
            <w:tcMar>
              <w:top w:type="dxa" w:w="80"/>
              <w:left w:type="dxa" w:w="100"/>
              <w:bottom w:type="dxa" w:w="80"/>
              <w:right w:type="dxa" w:w="100"/>
            </w:tcMar>
          </w:tcPr>
          <w:p>
            <w:r>
              <w:rPr>
                <w:b/>
                <w:bCs/>
                <w:color w:val="FFFFFF"/>
                <w:sz w:val="20"/>
                <w:szCs w:val="20"/>
              </w:rPr>
              <w:t xml:space="preserve">Component</w:t>
            </w:r>
          </w:p>
        </w:tc>
        <w:tc>
          <w:tcPr>
            <w:tcW w:type="dxa" w:w="6800"/>
            <w:shd w:fill="1F4E79" w:val="clear"/>
            <w:tcMar>
              <w:top w:type="dxa" w:w="80"/>
              <w:left w:type="dxa" w:w="100"/>
              <w:bottom w:type="dxa" w:w="80"/>
              <w:right w:type="dxa" w:w="100"/>
            </w:tcMar>
          </w:tcPr>
          <w:p>
            <w:r>
              <w:rPr>
                <w:b/>
                <w:bCs/>
                <w:color w:val="FFFFFF"/>
                <w:sz w:val="20"/>
                <w:szCs w:val="20"/>
              </w:rPr>
              <w:t xml:space="preserve">Role</w:t>
            </w:r>
          </w:p>
        </w:tc>
      </w:tr>
      <w:tr>
        <w:tc>
          <w:tcPr>
            <w:tcW w:type="dxa" w:w="2700"/>
            <w:shd w:fill="FFFFFF" w:val="clear"/>
            <w:tcMar>
              <w:top w:type="dxa" w:w="70"/>
              <w:left w:type="dxa" w:w="100"/>
              <w:bottom w:type="dxa" w:w="70"/>
              <w:right w:type="dxa" w:w="100"/>
            </w:tcMar>
          </w:tcPr>
          <w:p>
            <w:r>
              <w:rPr>
                <w:sz w:val="20"/>
                <w:szCs w:val="20"/>
              </w:rPr>
              <w:t xml:space="preserve">NLP (NER + parsing)</w:t>
            </w:r>
          </w:p>
        </w:tc>
        <w:tc>
          <w:tcPr>
            <w:tcW w:type="dxa" w:w="6800"/>
            <w:shd w:fill="FFFFFF" w:val="clear"/>
            <w:tcMar>
              <w:top w:type="dxa" w:w="70"/>
              <w:left w:type="dxa" w:w="100"/>
              <w:bottom w:type="dxa" w:w="70"/>
              <w:right w:type="dxa" w:w="100"/>
            </w:tcMar>
          </w:tcPr>
          <w:p>
            <w:r>
              <w:rPr>
                <w:sz w:val="20"/>
                <w:szCs w:val="20"/>
              </w:rPr>
              <w:t xml:space="preserve">Extract entities &amp; candidate relationships from FIRs, reports, free text</w:t>
            </w:r>
          </w:p>
        </w:tc>
      </w:tr>
      <w:tr>
        <w:tc>
          <w:tcPr>
            <w:tcW w:type="dxa" w:w="2700"/>
            <w:shd w:fill="F7F7F7" w:val="clear"/>
            <w:tcMar>
              <w:top w:type="dxa" w:w="70"/>
              <w:left w:type="dxa" w:w="100"/>
              <w:bottom w:type="dxa" w:w="70"/>
              <w:right w:type="dxa" w:w="100"/>
            </w:tcMar>
          </w:tcPr>
          <w:p>
            <w:r>
              <w:rPr>
                <w:sz w:val="20"/>
                <w:szCs w:val="20"/>
              </w:rPr>
              <w:t xml:space="preserve">Entity Resolution</w:t>
            </w:r>
          </w:p>
        </w:tc>
        <w:tc>
          <w:tcPr>
            <w:tcW w:type="dxa" w:w="6800"/>
            <w:shd w:fill="F7F7F7" w:val="clear"/>
            <w:tcMar>
              <w:top w:type="dxa" w:w="70"/>
              <w:left w:type="dxa" w:w="100"/>
              <w:bottom w:type="dxa" w:w="70"/>
              <w:right w:type="dxa" w:w="100"/>
            </w:tcMar>
          </w:tcPr>
          <w:p>
            <w:r>
              <w:rPr>
                <w:sz w:val="20"/>
                <w:szCs w:val="20"/>
              </w:rPr>
              <w:t xml:space="preserve">Confidence-scored deduplication of the same real-world entity across sources</w:t>
            </w:r>
          </w:p>
        </w:tc>
      </w:tr>
      <w:tr>
        <w:tc>
          <w:tcPr>
            <w:tcW w:type="dxa" w:w="2700"/>
            <w:shd w:fill="FFFFFF" w:val="clear"/>
            <w:tcMar>
              <w:top w:type="dxa" w:w="70"/>
              <w:left w:type="dxa" w:w="100"/>
              <w:bottom w:type="dxa" w:w="70"/>
              <w:right w:type="dxa" w:w="100"/>
            </w:tcMar>
          </w:tcPr>
          <w:p>
            <w:r>
              <w:rPr>
                <w:sz w:val="20"/>
                <w:szCs w:val="20"/>
              </w:rPr>
              <w:t xml:space="preserve">Graph Analytics</w:t>
            </w:r>
          </w:p>
        </w:tc>
        <w:tc>
          <w:tcPr>
            <w:tcW w:type="dxa" w:w="6800"/>
            <w:shd w:fill="FFFFFF" w:val="clear"/>
            <w:tcMar>
              <w:top w:type="dxa" w:w="70"/>
              <w:left w:type="dxa" w:w="100"/>
              <w:bottom w:type="dxa" w:w="70"/>
              <w:right w:type="dxa" w:w="100"/>
            </w:tcMar>
          </w:tcPr>
          <w:p>
            <w:r>
              <w:rPr>
                <w:sz w:val="20"/>
                <w:szCs w:val="20"/>
              </w:rPr>
              <w:t xml:space="preserve">Centrality (betweenness/closeness/eigenvector), community detection, bridge/motif detection, link prediction</w:t>
            </w:r>
          </w:p>
        </w:tc>
      </w:tr>
      <w:tr>
        <w:tc>
          <w:tcPr>
            <w:tcW w:type="dxa" w:w="2700"/>
            <w:shd w:fill="F7F7F7" w:val="clear"/>
            <w:tcMar>
              <w:top w:type="dxa" w:w="70"/>
              <w:left w:type="dxa" w:w="100"/>
              <w:bottom w:type="dxa" w:w="70"/>
              <w:right w:type="dxa" w:w="100"/>
            </w:tcMar>
          </w:tcPr>
          <w:p>
            <w:r>
              <w:rPr>
                <w:sz w:val="20"/>
                <w:szCs w:val="20"/>
              </w:rPr>
              <w:t xml:space="preserve">Temporal Engine</w:t>
            </w:r>
          </w:p>
        </w:tc>
        <w:tc>
          <w:tcPr>
            <w:tcW w:type="dxa" w:w="6800"/>
            <w:shd w:fill="F7F7F7" w:val="clear"/>
            <w:tcMar>
              <w:top w:type="dxa" w:w="70"/>
              <w:left w:type="dxa" w:w="100"/>
              <w:bottom w:type="dxa" w:w="70"/>
              <w:right w:type="dxa" w:w="100"/>
            </w:tcMar>
          </w:tcPr>
          <w:p>
            <w:r>
              <w:rPr>
                <w:sz w:val="20"/>
                <w:szCs w:val="20"/>
              </w:rPr>
              <w:t xml:space="preserve">Event extraction, activity-spike detection, sequence detection</w:t>
            </w:r>
          </w:p>
        </w:tc>
      </w:tr>
      <w:tr>
        <w:tc>
          <w:tcPr>
            <w:tcW w:type="dxa" w:w="2700"/>
            <w:shd w:fill="FFFFFF" w:val="clear"/>
            <w:tcMar>
              <w:top w:type="dxa" w:w="70"/>
              <w:left w:type="dxa" w:w="100"/>
              <w:bottom w:type="dxa" w:w="70"/>
              <w:right w:type="dxa" w:w="100"/>
            </w:tcMar>
          </w:tcPr>
          <w:p>
            <w:r>
              <w:rPr>
                <w:sz w:val="20"/>
                <w:szCs w:val="20"/>
              </w:rPr>
              <w:t xml:space="preserve">Geospatial Engine</w:t>
            </w:r>
          </w:p>
        </w:tc>
        <w:tc>
          <w:tcPr>
            <w:tcW w:type="dxa" w:w="6800"/>
            <w:shd w:fill="FFFFFF" w:val="clear"/>
            <w:tcMar>
              <w:top w:type="dxa" w:w="70"/>
              <w:left w:type="dxa" w:w="100"/>
              <w:bottom w:type="dxa" w:w="70"/>
              <w:right w:type="dxa" w:w="100"/>
            </w:tcMar>
          </w:tcPr>
          <w:p>
            <w:r>
              <w:rPr>
                <w:sz w:val="20"/>
                <w:szCs w:val="20"/>
              </w:rPr>
              <w:t xml:space="preserve">Location clustering, geo-anomaly detection</w:t>
            </w:r>
          </w:p>
        </w:tc>
      </w:tr>
      <w:tr>
        <w:tc>
          <w:tcPr>
            <w:tcW w:type="dxa" w:w="2700"/>
            <w:shd w:fill="F7F7F7" w:val="clear"/>
            <w:tcMar>
              <w:top w:type="dxa" w:w="70"/>
              <w:left w:type="dxa" w:w="100"/>
              <w:bottom w:type="dxa" w:w="70"/>
              <w:right w:type="dxa" w:w="100"/>
            </w:tcMar>
          </w:tcPr>
          <w:p>
            <w:r>
              <w:rPr>
                <w:sz w:val="20"/>
                <w:szCs w:val="20"/>
              </w:rPr>
              <w:t xml:space="preserve">Pattern &amp; Anomaly Engine</w:t>
            </w:r>
          </w:p>
        </w:tc>
        <w:tc>
          <w:tcPr>
            <w:tcW w:type="dxa" w:w="6800"/>
            <w:shd w:fill="F7F7F7" w:val="clear"/>
            <w:tcMar>
              <w:top w:type="dxa" w:w="70"/>
              <w:left w:type="dxa" w:w="100"/>
              <w:bottom w:type="dxa" w:w="70"/>
              <w:right w:type="dxa" w:w="100"/>
            </w:tcMar>
          </w:tcPr>
          <w:p>
            <w:r>
              <w:rPr>
                <w:sz w:val="20"/>
                <w:szCs w:val="20"/>
              </w:rPr>
              <w:t xml:space="preserve">Rule-based suspicious-pattern flags + multi-signal anomaly scoring</w:t>
            </w:r>
          </w:p>
        </w:tc>
      </w:tr>
      <w:tr>
        <w:tc>
          <w:tcPr>
            <w:tcW w:type="dxa" w:w="2700"/>
            <w:shd w:fill="FFFFFF" w:val="clear"/>
            <w:tcMar>
              <w:top w:type="dxa" w:w="70"/>
              <w:left w:type="dxa" w:w="100"/>
              <w:bottom w:type="dxa" w:w="70"/>
              <w:right w:type="dxa" w:w="100"/>
            </w:tcMar>
          </w:tcPr>
          <w:p>
            <w:r>
              <w:rPr>
                <w:sz w:val="20"/>
                <w:szCs w:val="20"/>
              </w:rPr>
              <w:t xml:space="preserve">Investigation Priority Engine</w:t>
            </w:r>
          </w:p>
        </w:tc>
        <w:tc>
          <w:tcPr>
            <w:tcW w:type="dxa" w:w="6800"/>
            <w:shd w:fill="FFFFFF" w:val="clear"/>
            <w:tcMar>
              <w:top w:type="dxa" w:w="70"/>
              <w:left w:type="dxa" w:w="100"/>
              <w:bottom w:type="dxa" w:w="70"/>
              <w:right w:type="dxa" w:w="100"/>
            </w:tcMar>
          </w:tcPr>
          <w:p>
            <w:r>
              <w:rPr>
                <w:sz w:val="20"/>
                <w:szCs w:val="20"/>
              </w:rPr>
              <w:t xml:space="preserve">Ranks entities by investigative relevance — explicitly NOT a guilt score (Decision D6)</w:t>
            </w:r>
          </w:p>
        </w:tc>
      </w:tr>
      <w:tr>
        <w:tc>
          <w:tcPr>
            <w:tcW w:type="dxa" w:w="2700"/>
            <w:shd w:fill="F7F7F7" w:val="clear"/>
            <w:tcMar>
              <w:top w:type="dxa" w:w="70"/>
              <w:left w:type="dxa" w:w="100"/>
              <w:bottom w:type="dxa" w:w="70"/>
              <w:right w:type="dxa" w:w="100"/>
            </w:tcMar>
          </w:tcPr>
          <w:p>
            <w:r>
              <w:rPr>
                <w:sz w:val="20"/>
                <w:szCs w:val="20"/>
              </w:rPr>
              <w:t xml:space="preserve">RAG + LLM Assistant</w:t>
            </w:r>
          </w:p>
        </w:tc>
        <w:tc>
          <w:tcPr>
            <w:tcW w:type="dxa" w:w="6800"/>
            <w:shd w:fill="F7F7F7" w:val="clear"/>
            <w:tcMar>
              <w:top w:type="dxa" w:w="70"/>
              <w:left w:type="dxa" w:w="100"/>
              <w:bottom w:type="dxa" w:w="70"/>
              <w:right w:type="dxa" w:w="100"/>
            </w:tcMar>
          </w:tcPr>
          <w:p>
            <w:r>
              <w:rPr>
                <w:sz w:val="20"/>
                <w:szCs w:val="20"/>
              </w:rPr>
              <w:t xml:space="preserve">Natural-language Q&amp;A over the case, always citation-grounded to evidence</w:t>
            </w:r>
          </w:p>
        </w:tc>
      </w:tr>
    </w:tbl>
    <w:p>
      <w:pPr>
        <w:pStyle w:val="Heading2"/>
        <w:spacing w:after="120" w:before="260"/>
      </w:pPr>
      <w:r>
        <w:rPr>
          <w:b/>
          <w:bCs/>
          <w:color w:val="C55A11"/>
        </w:rPr>
        <w:t xml:space="preserve">Guardrails</w:t>
      </w:r>
    </w:p>
    <w:p>
      <w:pPr>
        <w:pStyle w:val="ListParagraph"/>
        <w:numPr>
          <w:ilvl w:val="0"/>
          <w:numId w:val="1"/>
        </w:numPr>
        <w:spacing w:after="70"/>
      </w:pPr>
      <w:r>
        <w:t xml:space="preserve">Hallucination control on the LLM layer</w:t>
      </w:r>
    </w:p>
    <w:p>
      <w:pPr>
        <w:pStyle w:val="ListParagraph"/>
        <w:numPr>
          <w:ilvl w:val="0"/>
          <w:numId w:val="1"/>
        </w:numPr>
        <w:spacing w:after="70"/>
      </w:pPr>
      <w:r>
        <w:t xml:space="preserve">Prompt-injection defense</w:t>
      </w:r>
    </w:p>
    <w:p>
      <w:pPr>
        <w:pStyle w:val="ListParagraph"/>
        <w:numPr>
          <w:ilvl w:val="0"/>
          <w:numId w:val="1"/>
        </w:numPr>
        <w:spacing w:after="70"/>
      </w:pPr>
      <w:r>
        <w:t xml:space="preserve">Citation model — every AI claim links back to source evidence</w:t>
      </w:r>
    </w:p>
    <w:p>
      <w:pPr>
        <w:pStyle w:val="ListParagraph"/>
        <w:numPr>
          <w:ilvl w:val="0"/>
          <w:numId w:val="1"/>
        </w:numPr>
        <w:spacing w:after="70"/>
      </w:pPr>
      <w:r>
        <w:t xml:space="preserve">Human-in-the-loop verification is mandatory (Decision D7), not optional</w:t>
      </w:r>
    </w:p>
    <w:p>
      <w:r>
        <w:br w:type="page"/>
      </w:r>
    </w:p>
    <w:p>
      <w:pPr>
        <w:pStyle w:val="Heading1"/>
        <w:pBdr>
          <w:bottom w:val="single" w:color="1F4E79" w:sz="8" w:space="4"/>
        </w:pBdr>
        <w:spacing w:after="160" w:before="360"/>
      </w:pPr>
      <w:r>
        <w:rPr>
          <w:b/>
          <w:bCs/>
          <w:color w:val="1F4E79"/>
        </w:rPr>
        <w:t xml:space="preserve">6. Investigator UX (Condensed)</w:t>
      </w:r>
    </w:p>
    <w:p>
      <w:pPr>
        <w:spacing w:after="140" w:line="300"/>
      </w:pPr>
      <w:r>
        <w:t xml:space="preserve">The interface is built around a single investigator workflow: Case Workspace → Data Ingestion → Entity Review Queue → Network Explorer (graph + timeline + map) → Evidence Explorer → AI Assistant → Report Generation.</w:t>
      </w:r>
    </w:p>
    <w:p>
      <w:pPr>
        <w:pStyle w:val="Heading2"/>
        <w:spacing w:after="120" w:before="260"/>
      </w:pPr>
      <w:r>
        <w:rPr>
          <w:b/>
          <w:bCs/>
          <w:color w:val="C55A11"/>
        </w:rPr>
        <w:t xml:space="preserve">Flagship demo flow (already scripted — presentation-ready)</w:t>
      </w:r>
    </w:p>
    <w:p>
      <w:pPr>
        <w:pStyle w:val="ListParagraph"/>
        <w:numPr>
          <w:ilvl w:val="0"/>
          <w:numId w:val="1"/>
        </w:numPr>
        <w:spacing w:after="70"/>
      </w:pPr>
      <w:r>
        <w:t xml:space="preserve">Scene 1 — Investigator opens a case with an initially incomplete network.</w:t>
      </w:r>
    </w:p>
    <w:p>
      <w:pPr>
        <w:pStyle w:val="ListParagraph"/>
        <w:numPr>
          <w:ilvl w:val="0"/>
          <w:numId w:val="1"/>
        </w:numPr>
        <w:spacing w:after="70"/>
      </w:pPr>
      <w:r>
        <w:t xml:space="preserve">Scene 2 — Uploads 3 heterogeneous sources (FIR PDF, CDR CSV, transactions CSV).</w:t>
      </w:r>
    </w:p>
    <w:p>
      <w:pPr>
        <w:pStyle w:val="ListParagraph"/>
        <w:numPr>
          <w:ilvl w:val="0"/>
          <w:numId w:val="1"/>
        </w:numPr>
        <w:spacing w:after="70"/>
      </w:pPr>
      <w:r>
        <w:t xml:space="preserve">Scene 3 — UI visibly shows AI processing: extracting entities → resolving identities → building relationships → running analytics.</w:t>
      </w:r>
    </w:p>
    <w:p>
      <w:pPr>
        <w:pStyle w:val="ListParagraph"/>
        <w:numPr>
          <w:ilvl w:val="0"/>
          <w:numId w:val="1"/>
        </w:numPr>
        <w:spacing w:after="70"/>
      </w:pPr>
      <w:r>
        <w:t xml:space="preserve">Scene 4 — Graph appears; two initially separate clusters resolve into a shared bridge entity, "Person X" — the flagship discovery moment.</w:t>
      </w:r>
    </w:p>
    <w:p>
      <w:pPr>
        <w:spacing w:after="140" w:line="300"/>
      </w:pPr>
      <w:r>
        <w:t xml:space="preserve">This is your strongest live-demo asset — protect it in scoping (see Section 10).</w:t>
      </w:r>
    </w:p>
    <w:p>
      <w:r>
        <w:br w:type="page"/>
      </w:r>
    </w:p>
    <w:p>
      <w:pPr>
        <w:pStyle w:val="Heading1"/>
        <w:pBdr>
          <w:bottom w:val="single" w:color="1F4E79" w:sz="8" w:space="4"/>
        </w:pBdr>
        <w:spacing w:after="160" w:before="360"/>
      </w:pPr>
      <w:r>
        <w:rPr>
          <w:b/>
          <w:bCs/>
          <w:color w:val="1F4E79"/>
        </w:rPr>
        <w:t xml:space="preserve">7. Part 6 — Data Architecture, Knowledge Graph Schema &amp; Database Design</w:t>
      </w:r>
    </w:p>
    <w:p>
      <w:pPr>
        <w:spacing w:after="140" w:line="300"/>
      </w:pPr>
      <w:r>
        <w:t xml:space="preserve">This part defines exactly what CRIMENET stores, how entities connect, and how the application retrieves them. It follows directly from the layered architecture in Section 4 and the entity model established in Parts 1–2.</w:t>
      </w:r>
    </w:p>
    <w:p>
      <w:pPr>
        <w:pStyle w:val="Heading2"/>
        <w:spacing w:after="120" w:before="260"/>
      </w:pPr>
      <w:r>
        <w:rPr>
          <w:b/>
          <w:bCs/>
          <w:color w:val="C55A11"/>
        </w:rPr>
        <w:t xml:space="preserve">7.1 Storage Strategy: Why Two Databases</w:t>
      </w:r>
    </w:p>
    <w:p>
      <w:pPr>
        <w:spacing w:after="140" w:line="300"/>
      </w:pPr>
      <w:r>
        <w:t xml:space="preserve">CRIMENET deliberately splits storage by workload, rather than forcing everything into one engine: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00"/>
      </w:tblGrid>
      <w:tr>
        <w:trPr>
          <w:tblHeader/>
        </w:trPr>
        <w:tc>
          <w:tcPr>
            <w:tcW w:type="dxa" w:w="1800"/>
            <w:shd w:fill="1F4E79" w:val="clear"/>
            <w:tcMar>
              <w:top w:type="dxa" w:w="80"/>
              <w:left w:type="dxa" w:w="100"/>
              <w:bottom w:type="dxa" w:w="80"/>
              <w:right w:type="dxa" w:w="100"/>
            </w:tcMar>
          </w:tcPr>
          <w:p>
            <w:r>
              <w:rPr>
                <w:b/>
                <w:bCs/>
                <w:color w:val="FFFFFF"/>
                <w:sz w:val="20"/>
                <w:szCs w:val="20"/>
              </w:rPr>
              <w:t xml:space="preserve">Store</w:t>
            </w:r>
          </w:p>
        </w:tc>
        <w:tc>
          <w:tcPr>
            <w:tcW w:type="dxa" w:w="1800"/>
            <w:shd w:fill="1F4E79" w:val="clear"/>
            <w:tcMar>
              <w:top w:type="dxa" w:w="80"/>
              <w:left w:type="dxa" w:w="100"/>
              <w:bottom w:type="dxa" w:w="80"/>
              <w:right w:type="dxa" w:w="100"/>
            </w:tcMar>
          </w:tcPr>
          <w:p>
            <w:r>
              <w:rPr>
                <w:b/>
                <w:bCs/>
                <w:color w:val="FFFFFF"/>
                <w:sz w:val="20"/>
                <w:szCs w:val="20"/>
              </w:rPr>
              <w:t xml:space="preserve">Role</w:t>
            </w:r>
          </w:p>
        </w:tc>
        <w:tc>
          <w:tcPr>
            <w:tcW w:type="dxa" w:w="5500"/>
            <w:shd w:fill="1F4E79" w:val="clear"/>
            <w:tcMar>
              <w:top w:type="dxa" w:w="80"/>
              <w:left w:type="dxa" w:w="100"/>
              <w:bottom w:type="dxa" w:w="80"/>
              <w:right w:type="dxa" w:w="100"/>
            </w:tcMar>
          </w:tcPr>
          <w:p>
            <w:r>
              <w:rPr>
                <w:b/>
                <w:bCs/>
                <w:color w:val="FFFFFF"/>
                <w:sz w:val="20"/>
                <w:szCs w:val="20"/>
              </w:rPr>
              <w:t xml:space="preserve">Holds</w:t>
            </w:r>
          </w:p>
        </w:tc>
      </w:tr>
      <w:tr>
        <w:tc>
          <w:tcPr>
            <w:tcW w:type="dxa" w:w="1800"/>
            <w:shd w:fill="FFFFFF" w:val="clear"/>
            <w:tcMar>
              <w:top w:type="dxa" w:w="70"/>
              <w:left w:type="dxa" w:w="100"/>
              <w:bottom w:type="dxa" w:w="70"/>
              <w:right w:type="dxa" w:w="100"/>
            </w:tcMar>
          </w:tcPr>
          <w:p>
            <w:r>
              <w:rPr>
                <w:sz w:val="20"/>
                <w:szCs w:val="20"/>
              </w:rPr>
              <w:t xml:space="preserve">PostgreSQL</w:t>
            </w:r>
          </w:p>
        </w:tc>
        <w:tc>
          <w:tcPr>
            <w:tcW w:type="dxa" w:w="1800"/>
            <w:shd w:fill="FFFFFF" w:val="clear"/>
            <w:tcMar>
              <w:top w:type="dxa" w:w="70"/>
              <w:left w:type="dxa" w:w="100"/>
              <w:bottom w:type="dxa" w:w="70"/>
              <w:right w:type="dxa" w:w="100"/>
            </w:tcMar>
          </w:tcPr>
          <w:p>
            <w:r>
              <w:rPr>
                <w:sz w:val="20"/>
                <w:szCs w:val="20"/>
              </w:rPr>
              <w:t xml:space="preserve">System of record</w:t>
            </w:r>
          </w:p>
        </w:tc>
        <w:tc>
          <w:tcPr>
            <w:tcW w:type="dxa" w:w="5500"/>
            <w:shd w:fill="FFFFFF" w:val="clear"/>
            <w:tcMar>
              <w:top w:type="dxa" w:w="70"/>
              <w:left w:type="dxa" w:w="100"/>
              <w:bottom w:type="dxa" w:w="70"/>
              <w:right w:type="dxa" w:w="100"/>
            </w:tcMar>
          </w:tcPr>
          <w:p>
            <w:r>
              <w:rPr>
                <w:sz w:val="20"/>
                <w:szCs w:val="20"/>
              </w:rPr>
              <w:t xml:space="preserve">Users, cases, evidence metadata, audit logs, AI job status, permissions — anything relational, transactional, and access-controlled.</w:t>
            </w:r>
          </w:p>
        </w:tc>
      </w:tr>
      <w:tr>
        <w:tc>
          <w:tcPr>
            <w:tcW w:type="dxa" w:w="1800"/>
            <w:shd w:fill="F7F7F7" w:val="clear"/>
            <w:tcMar>
              <w:top w:type="dxa" w:w="70"/>
              <w:left w:type="dxa" w:w="100"/>
              <w:bottom w:type="dxa" w:w="70"/>
              <w:right w:type="dxa" w:w="100"/>
            </w:tcMar>
          </w:tcPr>
          <w:p>
            <w:r>
              <w:rPr>
                <w:sz w:val="20"/>
                <w:szCs w:val="20"/>
              </w:rPr>
              <w:t xml:space="preserve">Neo4j</w:t>
            </w:r>
          </w:p>
        </w:tc>
        <w:tc>
          <w:tcPr>
            <w:tcW w:type="dxa" w:w="1800"/>
            <w:shd w:fill="F7F7F7" w:val="clear"/>
            <w:tcMar>
              <w:top w:type="dxa" w:w="70"/>
              <w:left w:type="dxa" w:w="100"/>
              <w:bottom w:type="dxa" w:w="70"/>
              <w:right w:type="dxa" w:w="100"/>
            </w:tcMar>
          </w:tcPr>
          <w:p>
            <w:r>
              <w:rPr>
                <w:sz w:val="20"/>
                <w:szCs w:val="20"/>
              </w:rPr>
              <w:t xml:space="preserve">Knowledge graph</w:t>
            </w:r>
          </w:p>
        </w:tc>
        <w:tc>
          <w:tcPr>
            <w:tcW w:type="dxa" w:w="5500"/>
            <w:shd w:fill="F7F7F7" w:val="clear"/>
            <w:tcMar>
              <w:top w:type="dxa" w:w="70"/>
              <w:left w:type="dxa" w:w="100"/>
              <w:bottom w:type="dxa" w:w="70"/>
              <w:right w:type="dxa" w:w="100"/>
            </w:tcMar>
          </w:tcPr>
          <w:p>
            <w:r>
              <w:rPr>
                <w:sz w:val="20"/>
                <w:szCs w:val="20"/>
              </w:rPr>
              <w:t xml:space="preserve">Person / Organization / Phone / Vehicle / Account / Location / Event nodes and their relationships — anything that is queried by traversal, not by row lookup.</w:t>
            </w:r>
          </w:p>
        </w:tc>
      </w:tr>
      <w:tr>
        <w:tc>
          <w:tcPr>
            <w:tcW w:type="dxa" w:w="1800"/>
            <w:shd w:fill="FFFFFF" w:val="clear"/>
            <w:tcMar>
              <w:top w:type="dxa" w:w="70"/>
              <w:left w:type="dxa" w:w="100"/>
              <w:bottom w:type="dxa" w:w="70"/>
              <w:right w:type="dxa" w:w="100"/>
            </w:tcMar>
          </w:tcPr>
          <w:p>
            <w:r>
              <w:rPr>
                <w:sz w:val="20"/>
                <w:szCs w:val="20"/>
              </w:rPr>
              <w:t xml:space="preserve">Object Storage</w:t>
            </w:r>
          </w:p>
        </w:tc>
        <w:tc>
          <w:tcPr>
            <w:tcW w:type="dxa" w:w="1800"/>
            <w:shd w:fill="FFFFFF" w:val="clear"/>
            <w:tcMar>
              <w:top w:type="dxa" w:w="70"/>
              <w:left w:type="dxa" w:w="100"/>
              <w:bottom w:type="dxa" w:w="70"/>
              <w:right w:type="dxa" w:w="100"/>
            </w:tcMar>
          </w:tcPr>
          <w:p>
            <w:r>
              <w:rPr>
                <w:sz w:val="20"/>
                <w:szCs w:val="20"/>
              </w:rPr>
              <w:t xml:space="preserve">Raw evidence</w:t>
            </w:r>
          </w:p>
        </w:tc>
        <w:tc>
          <w:tcPr>
            <w:tcW w:type="dxa" w:w="5500"/>
            <w:shd w:fill="FFFFFF" w:val="clear"/>
            <w:tcMar>
              <w:top w:type="dxa" w:w="70"/>
              <w:left w:type="dxa" w:w="100"/>
              <w:bottom w:type="dxa" w:w="70"/>
              <w:right w:type="dxa" w:w="100"/>
            </w:tcMar>
          </w:tcPr>
          <w:p>
            <w:r>
              <w:rPr>
                <w:sz w:val="20"/>
                <w:szCs w:val="20"/>
              </w:rPr>
              <w:t xml:space="preserve">PDFs, images, documents, and extracted artifacts — the immutable source-of-truth files every graph fact must trace back to.</w:t>
            </w:r>
          </w:p>
        </w:tc>
      </w:tr>
      <w:tr>
        <w:tc>
          <w:tcPr>
            <w:tcW w:type="dxa" w:w="1800"/>
            <w:shd w:fill="F7F7F7" w:val="clear"/>
            <w:tcMar>
              <w:top w:type="dxa" w:w="70"/>
              <w:left w:type="dxa" w:w="100"/>
              <w:bottom w:type="dxa" w:w="70"/>
              <w:right w:type="dxa" w:w="100"/>
            </w:tcMar>
          </w:tcPr>
          <w:p>
            <w:r>
              <w:rPr>
                <w:sz w:val="20"/>
                <w:szCs w:val="20"/>
              </w:rPr>
              <w:t xml:space="preserve">Redis / Queue</w:t>
            </w:r>
          </w:p>
        </w:tc>
        <w:tc>
          <w:tcPr>
            <w:tcW w:type="dxa" w:w="1800"/>
            <w:shd w:fill="F7F7F7" w:val="clear"/>
            <w:tcMar>
              <w:top w:type="dxa" w:w="70"/>
              <w:left w:type="dxa" w:w="100"/>
              <w:bottom w:type="dxa" w:w="70"/>
              <w:right w:type="dxa" w:w="100"/>
            </w:tcMar>
          </w:tcPr>
          <w:p>
            <w:r>
              <w:rPr>
                <w:sz w:val="20"/>
                <w:szCs w:val="20"/>
              </w:rPr>
              <w:t xml:space="preserve">Async layer</w:t>
            </w:r>
          </w:p>
        </w:tc>
        <w:tc>
          <w:tcPr>
            <w:tcW w:type="dxa" w:w="5500"/>
            <w:shd w:fill="F7F7F7" w:val="clear"/>
            <w:tcMar>
              <w:top w:type="dxa" w:w="70"/>
              <w:left w:type="dxa" w:w="100"/>
              <w:bottom w:type="dxa" w:w="70"/>
              <w:right w:type="dxa" w:w="100"/>
            </w:tcMar>
          </w:tcPr>
          <w:p>
            <w:r>
              <w:rPr>
                <w:sz w:val="20"/>
                <w:szCs w:val="20"/>
              </w:rPr>
              <w:t xml:space="preserve">Processing jobs, caching, and asynchronous ingestion workflows so long-running NLP jobs don't block the UI.</w:t>
            </w:r>
          </w:p>
        </w:tc>
      </w:tr>
    </w:tbl>
    <w:p>
      <w:pPr>
        <w:spacing w:after="220" w:before="120"/>
        <w:jc w:val="center"/>
      </w:pPr>
      <w:r>
        <w:drawing>
          <wp:inline distT="0" distB="0" distL="0" distR="0">
            <wp:extent cx="54864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981450"/>
                    </a:xfrm>
                    <a:prstGeom prst="rect">
                      <a:avLst/>
                    </a:prstGeom>
                  </pic:spPr>
                </pic:pic>
              </a:graphicData>
            </a:graphic>
          </wp:inline>
        </w:drawing>
      </w:r>
    </w:p>
    <w:p>
      <w:pPr>
        <w:spacing w:after="260"/>
        <w:jc w:val="center"/>
      </w:pPr>
      <w:r>
        <w:rPr>
          <w:i/>
          <w:iCs/>
          <w:color w:val="595959"/>
          <w:sz w:val="18"/>
          <w:szCs w:val="18"/>
        </w:rPr>
        <w:t xml:space="preserve">Figure 2 — Storage split and Neo4j relationship model</w:t>
      </w:r>
    </w:p>
    <w:p>
      <w:pPr>
        <w:pStyle w:val="Heading2"/>
        <w:spacing w:after="120" w:before="260"/>
      </w:pPr>
      <w:r>
        <w:rPr>
          <w:b/>
          <w:bCs/>
          <w:color w:val="C55A11"/>
        </w:rPr>
        <w:t xml:space="preserve">7.2 Neo4j Node Types</w:t>
      </w:r>
    </w:p>
    <w:p>
      <w:pPr>
        <w:pStyle w:val="ListParagraph"/>
        <w:numPr>
          <w:ilvl w:val="0"/>
          <w:numId w:val="1"/>
        </w:numPr>
        <w:spacing w:after="70"/>
      </w:pPr>
      <w:r>
        <w:t xml:space="preserve">Person — investigation subjects, witnesses, associates</w:t>
      </w:r>
    </w:p>
    <w:p>
      <w:pPr>
        <w:pStyle w:val="ListParagraph"/>
        <w:numPr>
          <w:ilvl w:val="0"/>
          <w:numId w:val="1"/>
        </w:numPr>
        <w:spacing w:after="70"/>
      </w:pPr>
      <w:r>
        <w:t xml:space="preserve">Organization — companies, gangs, fronts</w:t>
      </w:r>
    </w:p>
    <w:p>
      <w:pPr>
        <w:pStyle w:val="ListParagraph"/>
        <w:numPr>
          <w:ilvl w:val="0"/>
          <w:numId w:val="1"/>
        </w:numPr>
        <w:spacing w:after="70"/>
      </w:pPr>
      <w:r>
        <w:t xml:space="preserve">Phone — numbers appearing in CDRs</w:t>
      </w:r>
    </w:p>
    <w:p>
      <w:pPr>
        <w:pStyle w:val="ListParagraph"/>
        <w:numPr>
          <w:ilvl w:val="0"/>
          <w:numId w:val="1"/>
        </w:numPr>
        <w:spacing w:after="70"/>
      </w:pPr>
      <w:r>
        <w:t xml:space="preserve">Vehicle — registration numbers, linked movement records</w:t>
      </w:r>
    </w:p>
    <w:p>
      <w:pPr>
        <w:pStyle w:val="ListParagraph"/>
        <w:numPr>
          <w:ilvl w:val="0"/>
          <w:numId w:val="1"/>
        </w:numPr>
        <w:spacing w:after="70"/>
      </w:pPr>
      <w:r>
        <w:t xml:space="preserve">Account — bank/financial accounts</w:t>
      </w:r>
    </w:p>
    <w:p>
      <w:pPr>
        <w:pStyle w:val="ListParagraph"/>
        <w:numPr>
          <w:ilvl w:val="0"/>
          <w:numId w:val="1"/>
        </w:numPr>
        <w:spacing w:after="70"/>
      </w:pPr>
      <w:r>
        <w:t xml:space="preserve">Location — addresses, geocoded points, hotspots</w:t>
      </w:r>
    </w:p>
    <w:p>
      <w:pPr>
        <w:pStyle w:val="ListParagraph"/>
        <w:numPr>
          <w:ilvl w:val="0"/>
          <w:numId w:val="1"/>
        </w:numPr>
        <w:spacing w:after="70"/>
      </w:pPr>
      <w:r>
        <w:t xml:space="preserve">Event — a dated occurrence (meeting, transaction, call, incident)</w:t>
      </w:r>
    </w:p>
    <w:p>
      <w:pPr>
        <w:pStyle w:val="Heading2"/>
        <w:spacing w:after="120" w:before="260"/>
      </w:pPr>
      <w:r>
        <w:rPr>
          <w:b/>
          <w:bCs/>
          <w:color w:val="C55A11"/>
        </w:rPr>
        <w:t xml:space="preserve">7.3 Core Relationship Types</w:t>
      </w:r>
    </w:p>
    <w:p>
      <w:pPr>
        <w:pStyle w:val="ListParagraph"/>
        <w:numPr>
          <w:ilvl w:val="0"/>
          <w:numId w:val="1"/>
        </w:numPr>
        <w:spacing w:after="70"/>
      </w:pPr>
      <w:r>
        <w:t xml:space="preserve">AFFILIATED_WITH (Person → Organization)</w:t>
      </w:r>
    </w:p>
    <w:p>
      <w:pPr>
        <w:pStyle w:val="ListParagraph"/>
        <w:numPr>
          <w:ilvl w:val="0"/>
          <w:numId w:val="1"/>
        </w:numPr>
        <w:spacing w:after="70"/>
      </w:pPr>
      <w:r>
        <w:t xml:space="preserve">USES (Person → Phone)</w:t>
      </w:r>
    </w:p>
    <w:p>
      <w:pPr>
        <w:pStyle w:val="ListParagraph"/>
        <w:numPr>
          <w:ilvl w:val="0"/>
          <w:numId w:val="1"/>
        </w:numPr>
        <w:spacing w:after="70"/>
      </w:pPr>
      <w:r>
        <w:t xml:space="preserve">OWNS (Person → Account)</w:t>
      </w:r>
    </w:p>
    <w:p>
      <w:pPr>
        <w:pStyle w:val="ListParagraph"/>
        <w:numPr>
          <w:ilvl w:val="0"/>
          <w:numId w:val="1"/>
        </w:numPr>
        <w:spacing w:after="70"/>
      </w:pPr>
      <w:r>
        <w:t xml:space="preserve">COMMUNICATES_WITH (Person → Person, with call/message metadata + confidence)</w:t>
      </w:r>
    </w:p>
    <w:p>
      <w:pPr>
        <w:pStyle w:val="ListParagraph"/>
        <w:numPr>
          <w:ilvl w:val="0"/>
          <w:numId w:val="1"/>
        </w:numPr>
        <w:spacing w:after="70"/>
      </w:pPr>
      <w:r>
        <w:t xml:space="preserve">PARTICIPATED_IN (Person → Event)</w:t>
      </w:r>
    </w:p>
    <w:p>
      <w:pPr>
        <w:pStyle w:val="ListParagraph"/>
        <w:numPr>
          <w:ilvl w:val="0"/>
          <w:numId w:val="1"/>
        </w:numPr>
        <w:spacing w:after="70"/>
      </w:pPr>
      <w:r>
        <w:t xml:space="preserve">OCCURRED_AT (Event → Location)</w:t>
      </w:r>
    </w:p>
    <w:p>
      <w:pPr>
        <w:pStyle w:val="ListParagraph"/>
        <w:numPr>
          <w:ilvl w:val="0"/>
          <w:numId w:val="1"/>
        </w:numPr>
        <w:spacing w:after="70"/>
      </w:pPr>
      <w:r>
        <w:t xml:space="preserve">LINKED_TO (Person → Vehicle)</w:t>
      </w:r>
    </w:p>
    <w:p>
      <w:pPr>
        <w:spacing w:after="140" w:line="300"/>
      </w:pPr>
      <w:r>
        <w:t xml:space="preserve">Every relationship edge carries: confidence score, source evidence ID(s), extraction method (rule-based / NLP / manual), and a created/verified timestamp. This is what makes Decision D3 (evidence provenance) enforceable at the schema level, not just a policy statement.</w:t>
      </w:r>
    </w:p>
    <w:p>
      <w:pPr>
        <w:pStyle w:val="Heading2"/>
        <w:spacing w:after="120" w:before="260"/>
      </w:pPr>
      <w:r>
        <w:rPr>
          <w:b/>
          <w:bCs/>
          <w:color w:val="C55A11"/>
        </w:rPr>
        <w:t xml:space="preserve">7.4 PostgreSQL Core Tables (indicative)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Table</w:t>
            </w:r>
          </w:p>
        </w:tc>
        <w:tc>
          <w:tcPr>
            <w:tcW w:type="dxa" w:w="7100"/>
            <w:shd w:fill="1F4E79" w:val="clear"/>
            <w:tcMar>
              <w:top w:type="dxa" w:w="80"/>
              <w:left w:type="dxa" w:w="100"/>
              <w:bottom w:type="dxa" w:w="80"/>
              <w:right w:type="dxa" w:w="100"/>
            </w:tcMar>
          </w:tcPr>
          <w:p>
            <w:r>
              <w:rPr>
                <w:b/>
                <w:bCs/>
                <w:color w:val="FFFFFF"/>
                <w:sz w:val="20"/>
                <w:szCs w:val="20"/>
              </w:rPr>
              <w:t xml:space="preserve">Key Columns</w:t>
            </w:r>
          </w:p>
        </w:tc>
      </w:tr>
      <w:tr>
        <w:tc>
          <w:tcPr>
            <w:tcW w:type="dxa" w:w="2000"/>
            <w:shd w:fill="FFFFFF" w:val="clear"/>
            <w:tcMar>
              <w:top w:type="dxa" w:w="70"/>
              <w:left w:type="dxa" w:w="100"/>
              <w:bottom w:type="dxa" w:w="70"/>
              <w:right w:type="dxa" w:w="100"/>
            </w:tcMar>
          </w:tcPr>
          <w:p>
            <w:r>
              <w:rPr>
                <w:sz w:val="20"/>
                <w:szCs w:val="20"/>
              </w:rPr>
              <w:t xml:space="preserve">users</w:t>
            </w:r>
          </w:p>
        </w:tc>
        <w:tc>
          <w:tcPr>
            <w:tcW w:type="dxa" w:w="7100"/>
            <w:shd w:fill="FFFFFF" w:val="clear"/>
            <w:tcMar>
              <w:top w:type="dxa" w:w="70"/>
              <w:left w:type="dxa" w:w="100"/>
              <w:bottom w:type="dxa" w:w="70"/>
              <w:right w:type="dxa" w:w="100"/>
            </w:tcMar>
          </w:tcPr>
          <w:p>
            <w:r>
              <w:rPr>
                <w:sz w:val="20"/>
                <w:szCs w:val="20"/>
              </w:rPr>
              <w:t xml:space="preserve">id, name, role, permissions_ref, created_at</w:t>
            </w:r>
          </w:p>
        </w:tc>
      </w:tr>
      <w:tr>
        <w:tc>
          <w:tcPr>
            <w:tcW w:type="dxa" w:w="2000"/>
            <w:shd w:fill="F7F7F7" w:val="clear"/>
            <w:tcMar>
              <w:top w:type="dxa" w:w="70"/>
              <w:left w:type="dxa" w:w="100"/>
              <w:bottom w:type="dxa" w:w="70"/>
              <w:right w:type="dxa" w:w="100"/>
            </w:tcMar>
          </w:tcPr>
          <w:p>
            <w:r>
              <w:rPr>
                <w:sz w:val="20"/>
                <w:szCs w:val="20"/>
              </w:rPr>
              <w:t xml:space="preserve">cases</w:t>
            </w:r>
          </w:p>
        </w:tc>
        <w:tc>
          <w:tcPr>
            <w:tcW w:type="dxa" w:w="7100"/>
            <w:shd w:fill="F7F7F7" w:val="clear"/>
            <w:tcMar>
              <w:top w:type="dxa" w:w="70"/>
              <w:left w:type="dxa" w:w="100"/>
              <w:bottom w:type="dxa" w:w="70"/>
              <w:right w:type="dxa" w:w="100"/>
            </w:tcMar>
          </w:tcPr>
          <w:p>
            <w:r>
              <w:rPr>
                <w:sz w:val="20"/>
                <w:szCs w:val="20"/>
              </w:rPr>
              <w:t xml:space="preserve">id, title, status, assigned_investigator, created_at</w:t>
            </w:r>
          </w:p>
        </w:tc>
      </w:tr>
      <w:tr>
        <w:tc>
          <w:tcPr>
            <w:tcW w:type="dxa" w:w="2000"/>
            <w:shd w:fill="FFFFFF" w:val="clear"/>
            <w:tcMar>
              <w:top w:type="dxa" w:w="70"/>
              <w:left w:type="dxa" w:w="100"/>
              <w:bottom w:type="dxa" w:w="70"/>
              <w:right w:type="dxa" w:w="100"/>
            </w:tcMar>
          </w:tcPr>
          <w:p>
            <w:r>
              <w:rPr>
                <w:sz w:val="20"/>
                <w:szCs w:val="20"/>
              </w:rPr>
              <w:t xml:space="preserve">evidence</w:t>
            </w:r>
          </w:p>
        </w:tc>
        <w:tc>
          <w:tcPr>
            <w:tcW w:type="dxa" w:w="7100"/>
            <w:shd w:fill="FFFFFF" w:val="clear"/>
            <w:tcMar>
              <w:top w:type="dxa" w:w="70"/>
              <w:left w:type="dxa" w:w="100"/>
              <w:bottom w:type="dxa" w:w="70"/>
              <w:right w:type="dxa" w:w="100"/>
            </w:tcMar>
          </w:tcPr>
          <w:p>
            <w:r>
              <w:rPr>
                <w:sz w:val="20"/>
                <w:szCs w:val="20"/>
              </w:rPr>
              <w:t xml:space="preserve">id, case_id, source_type, file_ref (object storage key), uploaded_by, hash</w:t>
            </w:r>
          </w:p>
        </w:tc>
      </w:tr>
      <w:tr>
        <w:tc>
          <w:tcPr>
            <w:tcW w:type="dxa" w:w="2000"/>
            <w:shd w:fill="F7F7F7" w:val="clear"/>
            <w:tcMar>
              <w:top w:type="dxa" w:w="70"/>
              <w:left w:type="dxa" w:w="100"/>
              <w:bottom w:type="dxa" w:w="70"/>
              <w:right w:type="dxa" w:w="100"/>
            </w:tcMar>
          </w:tcPr>
          <w:p>
            <w:r>
              <w:rPr>
                <w:sz w:val="20"/>
                <w:szCs w:val="20"/>
              </w:rPr>
              <w:t xml:space="preserve">audit_logs</w:t>
            </w:r>
          </w:p>
        </w:tc>
        <w:tc>
          <w:tcPr>
            <w:tcW w:type="dxa" w:w="7100"/>
            <w:shd w:fill="F7F7F7" w:val="clear"/>
            <w:tcMar>
              <w:top w:type="dxa" w:w="70"/>
              <w:left w:type="dxa" w:w="100"/>
              <w:bottom w:type="dxa" w:w="70"/>
              <w:right w:type="dxa" w:w="100"/>
            </w:tcMar>
          </w:tcPr>
          <w:p>
            <w:r>
              <w:rPr>
                <w:sz w:val="20"/>
                <w:szCs w:val="20"/>
              </w:rPr>
              <w:t xml:space="preserve">id, actor_id, action, target_ref, timestamp</w:t>
            </w:r>
          </w:p>
        </w:tc>
      </w:tr>
      <w:tr>
        <w:tc>
          <w:tcPr>
            <w:tcW w:type="dxa" w:w="2000"/>
            <w:shd w:fill="FFFFFF" w:val="clear"/>
            <w:tcMar>
              <w:top w:type="dxa" w:w="70"/>
              <w:left w:type="dxa" w:w="100"/>
              <w:bottom w:type="dxa" w:w="70"/>
              <w:right w:type="dxa" w:w="100"/>
            </w:tcMar>
          </w:tcPr>
          <w:p>
            <w:r>
              <w:rPr>
                <w:sz w:val="20"/>
                <w:szCs w:val="20"/>
              </w:rPr>
              <w:t xml:space="preserve">ai_jobs</w:t>
            </w:r>
          </w:p>
        </w:tc>
        <w:tc>
          <w:tcPr>
            <w:tcW w:type="dxa" w:w="7100"/>
            <w:shd w:fill="FFFFFF" w:val="clear"/>
            <w:tcMar>
              <w:top w:type="dxa" w:w="70"/>
              <w:left w:type="dxa" w:w="100"/>
              <w:bottom w:type="dxa" w:w="70"/>
              <w:right w:type="dxa" w:w="100"/>
            </w:tcMar>
          </w:tcPr>
          <w:p>
            <w:r>
              <w:rPr>
                <w:sz w:val="20"/>
                <w:szCs w:val="20"/>
              </w:rPr>
              <w:t xml:space="preserve">id, case_id, job_type, status, started_at, completed_at, model_version</w:t>
            </w:r>
          </w:p>
        </w:tc>
      </w:tr>
      <w:tr>
        <w:tc>
          <w:tcPr>
            <w:tcW w:type="dxa" w:w="2000"/>
            <w:shd w:fill="F7F7F7" w:val="clear"/>
            <w:tcMar>
              <w:top w:type="dxa" w:w="70"/>
              <w:left w:type="dxa" w:w="100"/>
              <w:bottom w:type="dxa" w:w="70"/>
              <w:right w:type="dxa" w:w="100"/>
            </w:tcMar>
          </w:tcPr>
          <w:p>
            <w:r>
              <w:rPr>
                <w:sz w:val="20"/>
                <w:szCs w:val="20"/>
              </w:rPr>
              <w:t xml:space="preserve">permissions</w:t>
            </w:r>
          </w:p>
        </w:tc>
        <w:tc>
          <w:tcPr>
            <w:tcW w:type="dxa" w:w="7100"/>
            <w:shd w:fill="F7F7F7" w:val="clear"/>
            <w:tcMar>
              <w:top w:type="dxa" w:w="70"/>
              <w:left w:type="dxa" w:w="100"/>
              <w:bottom w:type="dxa" w:w="70"/>
              <w:right w:type="dxa" w:w="100"/>
            </w:tcMar>
          </w:tcPr>
          <w:p>
            <w:r>
              <w:rPr>
                <w:sz w:val="20"/>
                <w:szCs w:val="20"/>
              </w:rPr>
              <w:t xml:space="preserve">role, resource, action, allowed (bool)</w:t>
            </w:r>
          </w:p>
        </w:tc>
      </w:tr>
    </w:tbl>
    <w:p>
      <w:pPr>
        <w:pStyle w:val="Heading2"/>
        <w:spacing w:after="120" w:before="260"/>
      </w:pPr>
      <w:r>
        <w:rPr>
          <w:b/>
          <w:bCs/>
          <w:color w:val="C55A11"/>
        </w:rPr>
        <w:t xml:space="preserve">7.5 Data Lineage — Every Fact is Traceable</w:t>
      </w:r>
    </w:p>
    <w:p>
      <w:pPr>
        <w:spacing w:after="220" w:before="120"/>
        <w:jc w:val="center"/>
      </w:pPr>
      <w:r>
        <w:drawing>
          <wp:inline distT="0" distB="0" distL="0" distR="0">
            <wp:extent cx="59436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4800"/>
                    </a:xfrm>
                    <a:prstGeom prst="rect">
                      <a:avLst/>
                    </a:prstGeom>
                  </pic:spPr>
                </pic:pic>
              </a:graphicData>
            </a:graphic>
          </wp:inline>
        </w:drawing>
      </w:r>
    </w:p>
    <w:p>
      <w:pPr>
        <w:spacing w:after="260"/>
        <w:jc w:val="center"/>
      </w:pPr>
      <w:r>
        <w:rPr>
          <w:i/>
          <w:iCs/>
          <w:color w:val="595959"/>
          <w:sz w:val="18"/>
          <w:szCs w:val="18"/>
        </w:rPr>
        <w:t xml:space="preserve">Figure 3 — Source-to-report lineage enforced by the schema</w:t>
      </w:r>
    </w:p>
    <w:p>
      <w:pPr>
        <w:spacing w:after="140" w:line="300"/>
      </w:pPr>
      <w:r>
        <w:t xml:space="preserve">This lineage chain is the technical backbone of Decision D3 and the "What We Will NOT Claim" commitments in Section 3 — a finding in a report can always be walked back to the original document.</w:t>
      </w:r>
    </w:p>
    <w:p>
      <w:pPr>
        <w:pStyle w:val="Heading2"/>
        <w:spacing w:after="120" w:before="260"/>
      </w:pPr>
      <w:r>
        <w:rPr>
          <w:b/>
          <w:bCs/>
          <w:color w:val="C55A11"/>
        </w:rPr>
        <w:t xml:space="preserve">7.6 Indexing &amp; Query Patterns</w:t>
      </w:r>
    </w:p>
    <w:p>
      <w:pPr>
        <w:pStyle w:val="ListParagraph"/>
        <w:numPr>
          <w:ilvl w:val="0"/>
          <w:numId w:val="1"/>
        </w:numPr>
        <w:spacing w:after="70"/>
      </w:pPr>
      <w:r>
        <w:t xml:space="preserve">Neo4j: composite index on (entity_type, normalized_name) for fast candidate matching during entity resolution.</w:t>
      </w:r>
    </w:p>
    <w:p>
      <w:pPr>
        <w:pStyle w:val="ListParagraph"/>
        <w:numPr>
          <w:ilvl w:val="0"/>
          <w:numId w:val="1"/>
        </w:numPr>
        <w:spacing w:after="70"/>
      </w:pPr>
      <w:r>
        <w:t xml:space="preserve">Neo4j: relationship property index on confidence for filtering low-confidence edges out of default graph views.</w:t>
      </w:r>
    </w:p>
    <w:p>
      <w:pPr>
        <w:pStyle w:val="ListParagraph"/>
        <w:numPr>
          <w:ilvl w:val="0"/>
          <w:numId w:val="1"/>
        </w:numPr>
        <w:spacing w:after="70"/>
      </w:pPr>
      <w:r>
        <w:t xml:space="preserve">PostgreSQL: index on cases.status and evidence.case_id for dashboard queries.</w:t>
      </w:r>
    </w:p>
    <w:p>
      <w:pPr>
        <w:pStyle w:val="ListParagraph"/>
        <w:numPr>
          <w:ilvl w:val="0"/>
          <w:numId w:val="1"/>
        </w:numPr>
        <w:spacing w:after="70"/>
      </w:pPr>
      <w:r>
        <w:t xml:space="preserve">Common query pattern: "shortest path between two entities within a case, filtered to confidence &gt; threshold" — this should be a first-class, pre-optimized query, since it's the core of the flagship demo discovery moment.</w:t>
      </w:r>
    </w:p>
    <w:p>
      <w:pPr>
        <w:pStyle w:val="Heading2"/>
        <w:spacing w:after="120" w:before="260"/>
      </w:pPr>
      <w:r>
        <w:rPr>
          <w:b/>
          <w:bCs/>
          <w:color w:val="C55A11"/>
        </w:rPr>
        <w:t xml:space="preserve">7.7 Retention, Backup &amp; Synthetic Dataset Hook</w:t>
      </w:r>
    </w:p>
    <w:p>
      <w:pPr>
        <w:pStyle w:val="ListParagraph"/>
        <w:numPr>
          <w:ilvl w:val="0"/>
          <w:numId w:val="1"/>
        </w:numPr>
        <w:spacing w:after="70"/>
      </w:pPr>
      <w:r>
        <w:t xml:space="preserve">Evidence files: immutable once uploaded; retention policy configurable per case (align with MHA data-handling norms — flag as an open compliance question in Q&amp;A, don't guess an answer).</w:t>
      </w:r>
    </w:p>
    <w:p>
      <w:pPr>
        <w:pStyle w:val="ListParagraph"/>
        <w:numPr>
          <w:ilvl w:val="0"/>
          <w:numId w:val="1"/>
        </w:numPr>
        <w:spacing w:after="70"/>
      </w:pPr>
      <w:r>
        <w:t xml:space="preserve">Backup: nightly PostgreSQL dump + Neo4j snapshot; both versioned so a demo environment can be reset to a known-good state (needed for the Judge-Facing Demo Mode already scoped in Part 4).</w:t>
      </w:r>
    </w:p>
    <w:p>
      <w:pPr>
        <w:pStyle w:val="ListParagraph"/>
        <w:numPr>
          <w:ilvl w:val="0"/>
          <w:numId w:val="1"/>
        </w:numPr>
        <w:spacing w:after="70"/>
      </w:pPr>
      <w:r>
        <w:t xml:space="preserve">The synthetic dataset (see Section 9) should be loaded through the exact same ingestion → NLP → resolution → graph pipeline as real data — never inserted directly into Neo4j. This is what makes the demo pipeline itself the thing being judged, not a canned graph.</w:t>
      </w:r>
    </w:p>
    <w:p>
      <w:r>
        <w:br w:type="page"/>
      </w:r>
    </w:p>
    <w:p>
      <w:pPr>
        <w:pStyle w:val="Heading1"/>
        <w:pBdr>
          <w:bottom w:val="single" w:color="1F4E79" w:sz="8" w:space="4"/>
        </w:pBdr>
        <w:spacing w:after="160" w:before="360"/>
      </w:pPr>
      <w:r>
        <w:rPr>
          <w:b/>
          <w:bCs/>
          <w:color w:val="1F4E79"/>
        </w:rPr>
        <w:t xml:space="preserve">8. Risks &amp; Mitigations (Expanded)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Risk</w:t>
            </w:r>
          </w:p>
        </w:tc>
        <w:tc>
          <w:tcPr>
            <w:tcW w:type="dxa" w:w="3200"/>
            <w:shd w:fill="1F4E79" w:val="clear"/>
            <w:tcMar>
              <w:top w:type="dxa" w:w="80"/>
              <w:left w:type="dxa" w:w="100"/>
              <w:bottom w:type="dxa" w:w="80"/>
              <w:right w:type="dxa" w:w="100"/>
            </w:tcMar>
          </w:tcPr>
          <w:p>
            <w:r>
              <w:rPr>
                <w:b/>
                <w:bCs/>
                <w:color w:val="FFFFFF"/>
                <w:sz w:val="20"/>
                <w:szCs w:val="20"/>
              </w:rPr>
              <w:t xml:space="preserve">Impact if unaddressed</w:t>
            </w:r>
          </w:p>
        </w:tc>
        <w:tc>
          <w:tcPr>
            <w:tcW w:type="dxa" w:w="3500"/>
            <w:shd w:fill="1F4E79" w:val="clear"/>
            <w:tcMar>
              <w:top w:type="dxa" w:w="80"/>
              <w:left w:type="dxa" w:w="100"/>
              <w:bottom w:type="dxa" w:w="80"/>
              <w:right w:type="dxa" w:w="100"/>
            </w:tcMar>
          </w:tcPr>
          <w:p>
            <w:r>
              <w:rPr>
                <w:b/>
                <w:bCs/>
                <w:color w:val="FFFFFF"/>
                <w:sz w:val="20"/>
                <w:szCs w:val="20"/>
              </w:rPr>
              <w:t xml:space="preserve">Mitigation</w:t>
            </w:r>
          </w:p>
        </w:tc>
      </w:tr>
      <w:tr>
        <w:tc>
          <w:tcPr>
            <w:tcW w:type="dxa" w:w="2200"/>
            <w:shd w:fill="FFFFFF" w:val="clear"/>
            <w:tcMar>
              <w:top w:type="dxa" w:w="70"/>
              <w:left w:type="dxa" w:w="100"/>
              <w:bottom w:type="dxa" w:w="70"/>
              <w:right w:type="dxa" w:w="100"/>
            </w:tcMar>
          </w:tcPr>
          <w:p>
            <w:r>
              <w:rPr>
                <w:sz w:val="20"/>
                <w:szCs w:val="20"/>
              </w:rPr>
              <w:t xml:space="preserve">Overengineering</w:t>
            </w:r>
          </w:p>
        </w:tc>
        <w:tc>
          <w:tcPr>
            <w:tcW w:type="dxa" w:w="3200"/>
            <w:shd w:fill="FFFFFF" w:val="clear"/>
            <w:tcMar>
              <w:top w:type="dxa" w:w="70"/>
              <w:left w:type="dxa" w:w="100"/>
              <w:bottom w:type="dxa" w:w="70"/>
              <w:right w:type="dxa" w:w="100"/>
            </w:tcMar>
          </w:tcPr>
          <w:p>
            <w:r>
              <w:rPr>
                <w:sz w:val="20"/>
                <w:szCs w:val="20"/>
              </w:rPr>
              <w:t xml:space="preserve">Team burns hackathon time on infra instead of the demo</w:t>
            </w:r>
          </w:p>
        </w:tc>
        <w:tc>
          <w:tcPr>
            <w:tcW w:type="dxa" w:w="3500"/>
            <w:shd w:fill="FFFFFF" w:val="clear"/>
            <w:tcMar>
              <w:top w:type="dxa" w:w="70"/>
              <w:left w:type="dxa" w:w="100"/>
              <w:bottom w:type="dxa" w:w="70"/>
              <w:right w:type="dxa" w:w="100"/>
            </w:tcMar>
          </w:tcPr>
          <w:p>
            <w:r>
              <w:rPr>
                <w:sz w:val="20"/>
                <w:szCs w:val="20"/>
              </w:rPr>
              <w:t xml:space="preserve">Modular monolith for MVP — split into microservices only after it works</w:t>
            </w:r>
          </w:p>
        </w:tc>
      </w:tr>
      <w:tr>
        <w:tc>
          <w:tcPr>
            <w:tcW w:type="dxa" w:w="2200"/>
            <w:shd w:fill="F7F7F7" w:val="clear"/>
            <w:tcMar>
              <w:top w:type="dxa" w:w="70"/>
              <w:left w:type="dxa" w:w="100"/>
              <w:bottom w:type="dxa" w:w="70"/>
              <w:right w:type="dxa" w:w="100"/>
            </w:tcMar>
          </w:tcPr>
          <w:p>
            <w:r>
              <w:rPr>
                <w:sz w:val="20"/>
                <w:szCs w:val="20"/>
              </w:rPr>
              <w:t xml:space="preserve">LLM dependency</w:t>
            </w:r>
          </w:p>
        </w:tc>
        <w:tc>
          <w:tcPr>
            <w:tcW w:type="dxa" w:w="3200"/>
            <w:shd w:fill="F7F7F7" w:val="clear"/>
            <w:tcMar>
              <w:top w:type="dxa" w:w="70"/>
              <w:left w:type="dxa" w:w="100"/>
              <w:bottom w:type="dxa" w:w="70"/>
              <w:right w:type="dxa" w:w="100"/>
            </w:tcMar>
          </w:tcPr>
          <w:p>
            <w:r>
              <w:rPr>
                <w:sz w:val="20"/>
                <w:szCs w:val="20"/>
              </w:rPr>
              <w:t xml:space="preserve">If the LLM API is slow/down during judging, whole demo breaks</w:t>
            </w:r>
          </w:p>
        </w:tc>
        <w:tc>
          <w:tcPr>
            <w:tcW w:type="dxa" w:w="3500"/>
            <w:shd w:fill="F7F7F7" w:val="clear"/>
            <w:tcMar>
              <w:top w:type="dxa" w:w="70"/>
              <w:left w:type="dxa" w:w="100"/>
              <w:bottom w:type="dxa" w:w="70"/>
              <w:right w:type="dxa" w:w="100"/>
            </w:tcMar>
          </w:tcPr>
          <w:p>
            <w:r>
              <w:rPr>
                <w:sz w:val="20"/>
                <w:szCs w:val="20"/>
              </w:rPr>
              <w:t xml:space="preserve">Core graph + analytics must work with zero LLM calls; LLM is an add-on layer only</w:t>
            </w:r>
          </w:p>
        </w:tc>
      </w:tr>
      <w:tr>
        <w:tc>
          <w:tcPr>
            <w:tcW w:type="dxa" w:w="2200"/>
            <w:shd w:fill="FFFFFF" w:val="clear"/>
            <w:tcMar>
              <w:top w:type="dxa" w:w="70"/>
              <w:left w:type="dxa" w:w="100"/>
              <w:bottom w:type="dxa" w:w="70"/>
              <w:right w:type="dxa" w:w="100"/>
            </w:tcMar>
          </w:tcPr>
          <w:p>
            <w:r>
              <w:rPr>
                <w:sz w:val="20"/>
                <w:szCs w:val="20"/>
              </w:rPr>
              <w:t xml:space="preserve">Graph performance</w:t>
            </w:r>
          </w:p>
        </w:tc>
        <w:tc>
          <w:tcPr>
            <w:tcW w:type="dxa" w:w="3200"/>
            <w:shd w:fill="FFFFFF" w:val="clear"/>
            <w:tcMar>
              <w:top w:type="dxa" w:w="70"/>
              <w:left w:type="dxa" w:w="100"/>
              <w:bottom w:type="dxa" w:w="70"/>
              <w:right w:type="dxa" w:w="100"/>
            </w:tcMar>
          </w:tcPr>
          <w:p>
            <w:r>
              <w:rPr>
                <w:sz w:val="20"/>
                <w:szCs w:val="20"/>
              </w:rPr>
              <w:t xml:space="preserve">Large graphs lag live during demo</w:t>
            </w:r>
          </w:p>
        </w:tc>
        <w:tc>
          <w:tcPr>
            <w:tcW w:type="dxa" w:w="3500"/>
            <w:shd w:fill="FFFFFF" w:val="clear"/>
            <w:tcMar>
              <w:top w:type="dxa" w:w="70"/>
              <w:left w:type="dxa" w:w="100"/>
              <w:bottom w:type="dxa" w:w="70"/>
              <w:right w:type="dxa" w:w="100"/>
            </w:tcMar>
          </w:tcPr>
          <w:p>
            <w:r>
              <w:rPr>
                <w:sz w:val="20"/>
                <w:szCs w:val="20"/>
              </w:rPr>
              <w:t xml:space="preserve">Cap demo dataset size; pre-warm Neo4j indexes before presenting</w:t>
            </w:r>
          </w:p>
        </w:tc>
      </w:tr>
      <w:tr>
        <w:tc>
          <w:tcPr>
            <w:tcW w:type="dxa" w:w="2200"/>
            <w:shd w:fill="F7F7F7" w:val="clear"/>
            <w:tcMar>
              <w:top w:type="dxa" w:w="70"/>
              <w:left w:type="dxa" w:w="100"/>
              <w:bottom w:type="dxa" w:w="70"/>
              <w:right w:type="dxa" w:w="100"/>
            </w:tcMar>
          </w:tcPr>
          <w:p>
            <w:r>
              <w:rPr>
                <w:sz w:val="20"/>
                <w:szCs w:val="20"/>
              </w:rPr>
              <w:t xml:space="preserve">Entity-resolution errors</w:t>
            </w:r>
          </w:p>
        </w:tc>
        <w:tc>
          <w:tcPr>
            <w:tcW w:type="dxa" w:w="3200"/>
            <w:shd w:fill="F7F7F7" w:val="clear"/>
            <w:tcMar>
              <w:top w:type="dxa" w:w="70"/>
              <w:left w:type="dxa" w:w="100"/>
              <w:bottom w:type="dxa" w:w="70"/>
              <w:right w:type="dxa" w:w="100"/>
            </w:tcMar>
          </w:tcPr>
          <w:p>
            <w:r>
              <w:rPr>
                <w:sz w:val="20"/>
                <w:szCs w:val="20"/>
              </w:rPr>
              <w:t xml:space="preserve">Wrong merges undermine trust in front of judges</w:t>
            </w:r>
          </w:p>
        </w:tc>
        <w:tc>
          <w:tcPr>
            <w:tcW w:type="dxa" w:w="3500"/>
            <w:shd w:fill="F7F7F7" w:val="clear"/>
            <w:tcMar>
              <w:top w:type="dxa" w:w="70"/>
              <w:left w:type="dxa" w:w="100"/>
              <w:bottom w:type="dxa" w:w="70"/>
              <w:right w:type="dxa" w:w="100"/>
            </w:tcMar>
          </w:tcPr>
          <w:p>
            <w:r>
              <w:rPr>
                <w:sz w:val="20"/>
                <w:szCs w:val="20"/>
              </w:rPr>
              <w:t xml:space="preserve">Confidence threshold + visible human-review queue in the UI — show it, don't hide it</w:t>
            </w:r>
          </w:p>
        </w:tc>
      </w:tr>
      <w:tr>
        <w:tc>
          <w:tcPr>
            <w:tcW w:type="dxa" w:w="2200"/>
            <w:shd w:fill="FFFFFF" w:val="clear"/>
            <w:tcMar>
              <w:top w:type="dxa" w:w="70"/>
              <w:left w:type="dxa" w:w="100"/>
              <w:bottom w:type="dxa" w:w="70"/>
              <w:right w:type="dxa" w:w="100"/>
            </w:tcMar>
          </w:tcPr>
          <w:p>
            <w:r>
              <w:rPr>
                <w:sz w:val="20"/>
                <w:szCs w:val="20"/>
              </w:rPr>
              <w:t xml:space="preserve">Synthetic-data weakness</w:t>
            </w:r>
          </w:p>
        </w:tc>
        <w:tc>
          <w:tcPr>
            <w:tcW w:type="dxa" w:w="3200"/>
            <w:shd w:fill="FFFFFF" w:val="clear"/>
            <w:tcMar>
              <w:top w:type="dxa" w:w="70"/>
              <w:left w:type="dxa" w:w="100"/>
              <w:bottom w:type="dxa" w:w="70"/>
              <w:right w:type="dxa" w:w="100"/>
            </w:tcMar>
          </w:tcPr>
          <w:p>
            <w:r>
              <w:rPr>
                <w:sz w:val="20"/>
                <w:szCs w:val="20"/>
              </w:rPr>
              <w:t xml:space="preserve">Demo data looks fake or too clean</w:t>
            </w:r>
          </w:p>
        </w:tc>
        <w:tc>
          <w:tcPr>
            <w:tcW w:type="dxa" w:w="3500"/>
            <w:shd w:fill="FFFFFF" w:val="clear"/>
            <w:tcMar>
              <w:top w:type="dxa" w:w="70"/>
              <w:left w:type="dxa" w:w="100"/>
              <w:bottom w:type="dxa" w:w="70"/>
              <w:right w:type="dxa" w:w="100"/>
            </w:tcMar>
          </w:tcPr>
          <w:p>
            <w:r>
              <w:rPr>
                <w:sz w:val="20"/>
                <w:szCs w:val="20"/>
              </w:rPr>
              <w:t xml:space="preserve">See Section 9 — ground-truth generator with deliberate realistic noise</w:t>
            </w:r>
          </w:p>
        </w:tc>
      </w:tr>
      <w:tr>
        <w:tc>
          <w:tcPr>
            <w:tcW w:type="dxa" w:w="2200"/>
            <w:shd w:fill="F7F7F7" w:val="clear"/>
            <w:tcMar>
              <w:top w:type="dxa" w:w="70"/>
              <w:left w:type="dxa" w:w="100"/>
              <w:bottom w:type="dxa" w:w="70"/>
              <w:right w:type="dxa" w:w="100"/>
            </w:tcMar>
          </w:tcPr>
          <w:p>
            <w:r>
              <w:rPr>
                <w:sz w:val="20"/>
                <w:szCs w:val="20"/>
              </w:rPr>
              <w:t xml:space="preserve">False intelligence</w:t>
            </w:r>
          </w:p>
        </w:tc>
        <w:tc>
          <w:tcPr>
            <w:tcW w:type="dxa" w:w="3200"/>
            <w:shd w:fill="F7F7F7" w:val="clear"/>
            <w:tcMar>
              <w:top w:type="dxa" w:w="70"/>
              <w:left w:type="dxa" w:w="100"/>
              <w:bottom w:type="dxa" w:w="70"/>
              <w:right w:type="dxa" w:w="100"/>
            </w:tcMar>
          </w:tcPr>
          <w:p>
            <w:r>
              <w:rPr>
                <w:sz w:val="20"/>
                <w:szCs w:val="20"/>
              </w:rPr>
              <w:t xml:space="preserve">A wrong AI claim shown as fact</w:t>
            </w:r>
          </w:p>
        </w:tc>
        <w:tc>
          <w:tcPr>
            <w:tcW w:type="dxa" w:w="3500"/>
            <w:shd w:fill="F7F7F7" w:val="clear"/>
            <w:tcMar>
              <w:top w:type="dxa" w:w="70"/>
              <w:left w:type="dxa" w:w="100"/>
              <w:bottom w:type="dxa" w:w="70"/>
              <w:right w:type="dxa" w:w="100"/>
            </w:tcMar>
          </w:tcPr>
          <w:p>
            <w:r>
              <w:rPr>
                <w:sz w:val="20"/>
                <w:szCs w:val="20"/>
              </w:rPr>
              <w:t xml:space="preserve">Evidence provenance + human verification enforced at schema level (Section 7.5)</w:t>
            </w:r>
          </w:p>
        </w:tc>
      </w:tr>
      <w:tr>
        <w:tc>
          <w:tcPr>
            <w:tcW w:type="dxa" w:w="2200"/>
            <w:shd w:fill="FFFFFF" w:val="clear"/>
            <w:tcMar>
              <w:top w:type="dxa" w:w="70"/>
              <w:left w:type="dxa" w:w="100"/>
              <w:bottom w:type="dxa" w:w="70"/>
              <w:right w:type="dxa" w:w="100"/>
            </w:tcMar>
          </w:tcPr>
          <w:p>
            <w:r>
              <w:rPr>
                <w:sz w:val="20"/>
                <w:szCs w:val="20"/>
              </w:rPr>
              <w:t xml:space="preserve">Team-scope mismatch (new)</w:t>
            </w:r>
          </w:p>
        </w:tc>
        <w:tc>
          <w:tcPr>
            <w:tcW w:type="dxa" w:w="3200"/>
            <w:shd w:fill="FFFFFF" w:val="clear"/>
            <w:tcMar>
              <w:top w:type="dxa" w:w="70"/>
              <w:left w:type="dxa" w:w="100"/>
              <w:bottom w:type="dxa" w:w="70"/>
              <w:right w:type="dxa" w:w="100"/>
            </w:tcMar>
          </w:tcPr>
          <w:p>
            <w:r>
              <w:rPr>
                <w:sz w:val="20"/>
                <w:szCs w:val="20"/>
              </w:rPr>
              <w:t xml:space="preserve">6-person team can't build all 5 parts' worth of scope in the hackathon window</w:t>
            </w:r>
          </w:p>
        </w:tc>
        <w:tc>
          <w:tcPr>
            <w:tcW w:type="dxa" w:w="3500"/>
            <w:shd w:fill="FFFFFF" w:val="clear"/>
            <w:tcMar>
              <w:top w:type="dxa" w:w="70"/>
              <w:left w:type="dxa" w:w="100"/>
              <w:bottom w:type="dxa" w:w="70"/>
              <w:right w:type="dxa" w:w="100"/>
            </w:tcMar>
          </w:tcPr>
          <w:p>
            <w:r>
              <w:rPr>
                <w:sz w:val="20"/>
                <w:szCs w:val="20"/>
              </w:rPr>
              <w:t xml:space="preserve">See Section 10 — ruthless MVP cut + explicit team-to-module mapping</w:t>
            </w:r>
          </w:p>
        </w:tc>
      </w:tr>
      <w:tr>
        <w:tc>
          <w:tcPr>
            <w:tcW w:type="dxa" w:w="2200"/>
            <w:shd w:fill="F7F7F7" w:val="clear"/>
            <w:tcMar>
              <w:top w:type="dxa" w:w="70"/>
              <w:left w:type="dxa" w:w="100"/>
              <w:bottom w:type="dxa" w:w="70"/>
              <w:right w:type="dxa" w:w="100"/>
            </w:tcMar>
          </w:tcPr>
          <w:p>
            <w:r>
              <w:rPr>
                <w:sz w:val="20"/>
                <w:szCs w:val="20"/>
              </w:rPr>
              <w:t xml:space="preserve">Demo fragility (new)</w:t>
            </w:r>
          </w:p>
        </w:tc>
        <w:tc>
          <w:tcPr>
            <w:tcW w:type="dxa" w:w="3200"/>
            <w:shd w:fill="F7F7F7" w:val="clear"/>
            <w:tcMar>
              <w:top w:type="dxa" w:w="70"/>
              <w:left w:type="dxa" w:w="100"/>
              <w:bottom w:type="dxa" w:w="70"/>
              <w:right w:type="dxa" w:w="100"/>
            </w:tcMar>
          </w:tcPr>
          <w:p>
            <w:r>
              <w:rPr>
                <w:sz w:val="20"/>
                <w:szCs w:val="20"/>
              </w:rPr>
              <w:t xml:space="preserve">Live demo fails under judge questioning or unexpected input</w:t>
            </w:r>
          </w:p>
        </w:tc>
        <w:tc>
          <w:tcPr>
            <w:tcW w:type="dxa" w:w="3500"/>
            <w:shd w:fill="F7F7F7" w:val="clear"/>
            <w:tcMar>
              <w:top w:type="dxa" w:w="70"/>
              <w:left w:type="dxa" w:w="100"/>
              <w:bottom w:type="dxa" w:w="70"/>
              <w:right w:type="dxa" w:w="100"/>
            </w:tcMar>
          </w:tcPr>
          <w:p>
            <w:r>
              <w:rPr>
                <w:sz w:val="20"/>
                <w:szCs w:val="20"/>
              </w:rPr>
              <w:t xml:space="preserve">Rehearsed reset-to-known-state (Judge-Facing Demo Mode) + a recorded backup video of the full flagship flow</w:t>
            </w:r>
          </w:p>
        </w:tc>
      </w:tr>
    </w:tbl>
    <w:p>
      <w:r>
        <w:br w:type="page"/>
      </w:r>
    </w:p>
    <w:p>
      <w:pPr>
        <w:pStyle w:val="Heading1"/>
        <w:pBdr>
          <w:bottom w:val="single" w:color="1F4E79" w:sz="8" w:space="4"/>
        </w:pBdr>
        <w:spacing w:after="160" w:before="360"/>
      </w:pPr>
      <w:r>
        <w:rPr>
          <w:b/>
          <w:bCs/>
          <w:color w:val="1F4E79"/>
        </w:rPr>
        <w:t xml:space="preserve">9. Synthetic Data Strategy (Fixed Gap)</w:t>
      </w:r>
    </w:p>
    <w:p>
      <w:pPr>
        <w:spacing w:after="140" w:line="300"/>
      </w:pPr>
      <w:r>
        <w:t xml:space="preserve">This was the single most under-specified risk across Parts 1–5 relative to how much the demo depends on it. Below is a concrete design.</w:t>
      </w:r>
    </w:p>
    <w:p>
      <w:pPr>
        <w:pStyle w:val="Heading2"/>
        <w:spacing w:after="120" w:before="260"/>
      </w:pPr>
      <w:r>
        <w:rPr>
          <w:b/>
          <w:bCs/>
          <w:color w:val="C55A11"/>
        </w:rPr>
        <w:t xml:space="preserve">9.1 Ground-truth generator design</w:t>
      </w:r>
    </w:p>
    <w:p>
      <w:pPr>
        <w:pStyle w:val="ListParagraph"/>
        <w:numPr>
          <w:ilvl w:val="0"/>
          <w:numId w:val="1"/>
        </w:numPr>
        <w:spacing w:after="70"/>
      </w:pPr>
      <w:r>
        <w:t xml:space="preserve">Start from a small hand-authored 'true' network (e.g., 40–60 entities, 2 clusters bridged by 1–2 connector entities) — this is your answer key.</w:t>
      </w:r>
    </w:p>
    <w:p>
      <w:pPr>
        <w:pStyle w:val="ListParagraph"/>
        <w:numPr>
          <w:ilvl w:val="0"/>
          <w:numId w:val="1"/>
        </w:numPr>
        <w:spacing w:after="70"/>
      </w:pPr>
      <w:r>
        <w:t xml:space="preserve">Generate source documents (synthetic FIR text, CDR rows, transaction rows) that describe this true network — using varied phrasing, partial name matches, and inconsistent formatting across sources.</w:t>
      </w:r>
    </w:p>
    <w:p>
      <w:pPr>
        <w:pStyle w:val="ListParagraph"/>
        <w:numPr>
          <w:ilvl w:val="0"/>
          <w:numId w:val="1"/>
        </w:numPr>
        <w:spacing w:after="70"/>
      </w:pPr>
      <w:r>
        <w:t xml:space="preserve">Deliberately inject realistic noise: misspelled names, same person with 2 different phone numbers, duplicate near-identical entities, a few red herrings unconnected to the main cluster, missing fields.</w:t>
      </w:r>
    </w:p>
    <w:p>
      <w:pPr>
        <w:pStyle w:val="ListParagraph"/>
        <w:numPr>
          <w:ilvl w:val="0"/>
          <w:numId w:val="1"/>
        </w:numPr>
        <w:spacing w:after="70"/>
      </w:pPr>
      <w:r>
        <w:t xml:space="preserve">Keep the answer key (true entities + true edges) separate — this becomes your evaluation set for entity resolution and relationship extraction accuracy (already scoped in Part 5, Sections 63–66).</w:t>
      </w:r>
    </w:p>
    <w:p>
      <w:pPr>
        <w:pStyle w:val="Heading2"/>
        <w:spacing w:after="120" w:before="260"/>
      </w:pPr>
      <w:r>
        <w:rPr>
          <w:b/>
          <w:bCs/>
          <w:color w:val="C55A11"/>
        </w:rPr>
        <w:t xml:space="preserve">9.2 Why this matters more than it looks</w:t>
      </w:r>
    </w:p>
    <w:p>
      <w:pPr>
        <w:spacing w:after="140" w:line="300"/>
      </w:pPr>
      <w:r>
        <w:t xml:space="preserve">Your differentiation (Section 4, Technical Differentiation) rests on entity resolution and evidence-linked relationship extraction actually working — not just a graph rendering nicely. A synthetic dataset that's too clean will make judges suspicious that the hard part isn't real; a synthetic dataset with realistic noise, paired with a visible confidence/review UI, proves the hard part is solved.</w:t>
      </w:r>
    </w:p>
    <w:p>
      <w:pPr>
        <w:pStyle w:val="Heading2"/>
        <w:spacing w:after="120" w:before="260"/>
      </w:pPr>
      <w:r>
        <w:rPr>
          <w:b/>
          <w:bCs/>
          <w:color w:val="C55A11"/>
        </w:rPr>
        <w:t xml:space="preserve">9.3 Practical build order</w:t>
      </w:r>
    </w:p>
    <w:p>
      <w:pPr>
        <w:pStyle w:val="ListParagraph"/>
        <w:numPr>
          <w:ilvl w:val="0"/>
          <w:numId w:val="1"/>
        </w:numPr>
        <w:spacing w:after="70"/>
      </w:pPr>
      <w:r>
        <w:t xml:space="preserve">Week 1: hand-author the 40–60 entity ground-truth network + answer key (spreadsheet is fine).</w:t>
      </w:r>
    </w:p>
    <w:p>
      <w:pPr>
        <w:pStyle w:val="ListParagraph"/>
        <w:numPr>
          <w:ilvl w:val="0"/>
          <w:numId w:val="1"/>
        </w:numPr>
        <w:spacing w:after="70"/>
      </w:pPr>
      <w:r>
        <w:t xml:space="preserve">Week 1–2: script-generate the 3 source documents (FIR text, CDR CSV, transactions CSV) from the ground truth, with noise injection parameters you control.</w:t>
      </w:r>
    </w:p>
    <w:p>
      <w:pPr>
        <w:pStyle w:val="ListParagraph"/>
        <w:numPr>
          <w:ilvl w:val="0"/>
          <w:numId w:val="1"/>
        </w:numPr>
        <w:spacing w:after="70"/>
      </w:pPr>
      <w:r>
        <w:t xml:space="preserve">Ongoing: re-run the same generator with different noise seeds to stress-test entity resolution before the final demo.</w:t>
      </w:r>
    </w:p>
    <w:p>
      <w:r>
        <w:br w:type="page"/>
      </w:r>
    </w:p>
    <w:p>
      <w:pPr>
        <w:pStyle w:val="Heading1"/>
        <w:pBdr>
          <w:bottom w:val="single" w:color="1F4E79" w:sz="8" w:space="4"/>
        </w:pBdr>
        <w:spacing w:after="160" w:before="360"/>
      </w:pPr>
      <w:r>
        <w:rPr>
          <w:b/>
          <w:bCs/>
          <w:color w:val="1F4E79"/>
        </w:rPr>
        <w:t xml:space="preserve">10. MVP Scope Cut &amp; Team-to-Module Mapping (Fixed Gap)</w:t>
      </w:r>
    </w:p>
    <w:p>
      <w:pPr>
        <w:spacing w:after="140" w:line="300"/>
      </w:pPr>
      <w:r>
        <w:t xml:space="preserve">Parts 1–5 describe a full platform. A 6-person team in a hackathon window cannot build all of it to production quality — and shouldn't try. Below is a ruthless split between what must work live and what can be architected-but-stubbed.</w:t>
      </w:r>
    </w:p>
    <w:p>
      <w:pPr>
        <w:spacing w:after="220" w:before="120"/>
        <w:jc w:val="center"/>
      </w:pPr>
      <w:r>
        <w:drawing>
          <wp:inline distT="0" distB="0" distL="0" distR="0">
            <wp:extent cx="5943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9575"/>
                    </a:xfrm>
                    <a:prstGeom prst="rect">
                      <a:avLst/>
                    </a:prstGeom>
                  </pic:spPr>
                </pic:pic>
              </a:graphicData>
            </a:graphic>
          </wp:inline>
        </w:drawing>
      </w:r>
    </w:p>
    <w:p>
      <w:pPr>
        <w:spacing w:after="260"/>
        <w:jc w:val="center"/>
      </w:pPr>
      <w:r>
        <w:rPr>
          <w:i/>
          <w:iCs/>
          <w:color w:val="595959"/>
          <w:sz w:val="18"/>
          <w:szCs w:val="18"/>
        </w:rPr>
        <w:t xml:space="preserve">Figure 4 — MVP core vs. stretch scope</w:t>
      </w:r>
    </w:p>
    <w:p>
      <w:pPr>
        <w:pStyle w:val="Heading2"/>
        <w:spacing w:after="120" w:before="260"/>
      </w:pPr>
      <w:r>
        <w:rPr>
          <w:b/>
          <w:bCs/>
          <w:color w:val="C55A11"/>
        </w:rPr>
        <w:t xml:space="preserve">10.1 Suggested team-to-module mapping (6 members)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600"/>
      </w:tblGrid>
      <w:tr>
        <w:trPr>
          <w:tblHeader/>
        </w:trPr>
        <w:tc>
          <w:tcPr>
            <w:tcW w:type="dxa" w:w="700"/>
            <w:shd w:fill="1F4E79" w:val="clear"/>
            <w:tcMar>
              <w:top w:type="dxa" w:w="80"/>
              <w:left w:type="dxa" w:w="100"/>
              <w:bottom w:type="dxa" w:w="80"/>
              <w:right w:type="dxa" w:w="100"/>
            </w:tcMar>
          </w:tcPr>
          <w:p>
            <w:r>
              <w:rPr>
                <w:b/>
                <w:bCs/>
                <w:color w:val="FFFFFF"/>
                <w:sz w:val="20"/>
                <w:szCs w:val="20"/>
              </w:rPr>
              <w:t xml:space="preserve">#</w:t>
            </w:r>
          </w:p>
        </w:tc>
        <w:tc>
          <w:tcPr>
            <w:tcW w:type="dxa" w:w="2600"/>
            <w:shd w:fill="1F4E79" w:val="clear"/>
            <w:tcMar>
              <w:top w:type="dxa" w:w="80"/>
              <w:left w:type="dxa" w:w="100"/>
              <w:bottom w:type="dxa" w:w="80"/>
              <w:right w:type="dxa" w:w="100"/>
            </w:tcMar>
          </w:tcPr>
          <w:p>
            <w:r>
              <w:rPr>
                <w:b/>
                <w:bCs/>
                <w:color w:val="FFFFFF"/>
                <w:sz w:val="20"/>
                <w:szCs w:val="20"/>
              </w:rPr>
              <w:t xml:space="preserve">Role</w:t>
            </w:r>
          </w:p>
        </w:tc>
        <w:tc>
          <w:tcPr>
            <w:tcW w:type="dxa" w:w="5600"/>
            <w:shd w:fill="1F4E79" w:val="clear"/>
            <w:tcMar>
              <w:top w:type="dxa" w:w="80"/>
              <w:left w:type="dxa" w:w="100"/>
              <w:bottom w:type="dxa" w:w="80"/>
              <w:right w:type="dxa" w:w="100"/>
            </w:tcMar>
          </w:tcPr>
          <w:p>
            <w:r>
              <w:rPr>
                <w:b/>
                <w:bCs/>
                <w:color w:val="FFFFFF"/>
                <w:sz w:val="20"/>
                <w:szCs w:val="20"/>
              </w:rPr>
              <w:t xml:space="preserve">Owns</w:t>
            </w:r>
          </w:p>
        </w:tc>
      </w:tr>
      <w:tr>
        <w:tc>
          <w:tcPr>
            <w:tcW w:type="dxa" w:w="700"/>
            <w:shd w:fill="FFFFFF" w:val="clear"/>
            <w:tcMar>
              <w:top w:type="dxa" w:w="70"/>
              <w:left w:type="dxa" w:w="100"/>
              <w:bottom w:type="dxa" w:w="70"/>
              <w:right w:type="dxa" w:w="100"/>
            </w:tcMar>
          </w:tcPr>
          <w:p>
            <w:r>
              <w:rPr>
                <w:sz w:val="20"/>
                <w:szCs w:val="20"/>
              </w:rPr>
              <w:t xml:space="preserve">1</w:t>
            </w:r>
          </w:p>
        </w:tc>
        <w:tc>
          <w:tcPr>
            <w:tcW w:type="dxa" w:w="2600"/>
            <w:shd w:fill="FFFFFF" w:val="clear"/>
            <w:tcMar>
              <w:top w:type="dxa" w:w="70"/>
              <w:left w:type="dxa" w:w="100"/>
              <w:bottom w:type="dxa" w:w="70"/>
              <w:right w:type="dxa" w:w="100"/>
            </w:tcMar>
          </w:tcPr>
          <w:p>
            <w:r>
              <w:rPr>
                <w:sz w:val="20"/>
                <w:szCs w:val="20"/>
              </w:rPr>
              <w:t xml:space="preserve">Data pipeline lead</w:t>
            </w:r>
          </w:p>
        </w:tc>
        <w:tc>
          <w:tcPr>
            <w:tcW w:type="dxa" w:w="5600"/>
            <w:shd w:fill="FFFFFF" w:val="clear"/>
            <w:tcMar>
              <w:top w:type="dxa" w:w="70"/>
              <w:left w:type="dxa" w:w="100"/>
              <w:bottom w:type="dxa" w:w="70"/>
              <w:right w:type="dxa" w:w="100"/>
            </w:tcMar>
          </w:tcPr>
          <w:p>
            <w:r>
              <w:rPr>
                <w:sz w:val="20"/>
                <w:szCs w:val="20"/>
              </w:rPr>
              <w:t xml:space="preserve">Ingestion, preprocessing, synthetic data generator (Section 9)</w:t>
            </w:r>
          </w:p>
        </w:tc>
      </w:tr>
      <w:tr>
        <w:tc>
          <w:tcPr>
            <w:tcW w:type="dxa" w:w="700"/>
            <w:shd w:fill="F7F7F7" w:val="clear"/>
            <w:tcMar>
              <w:top w:type="dxa" w:w="70"/>
              <w:left w:type="dxa" w:w="100"/>
              <w:bottom w:type="dxa" w:w="70"/>
              <w:right w:type="dxa" w:w="100"/>
            </w:tcMar>
          </w:tcPr>
          <w:p>
            <w:r>
              <w:rPr>
                <w:sz w:val="20"/>
                <w:szCs w:val="20"/>
              </w:rPr>
              <w:t xml:space="preserve">2</w:t>
            </w:r>
          </w:p>
        </w:tc>
        <w:tc>
          <w:tcPr>
            <w:tcW w:type="dxa" w:w="2600"/>
            <w:shd w:fill="F7F7F7" w:val="clear"/>
            <w:tcMar>
              <w:top w:type="dxa" w:w="70"/>
              <w:left w:type="dxa" w:w="100"/>
              <w:bottom w:type="dxa" w:w="70"/>
              <w:right w:type="dxa" w:w="100"/>
            </w:tcMar>
          </w:tcPr>
          <w:p>
            <w:r>
              <w:rPr>
                <w:sz w:val="20"/>
                <w:szCs w:val="20"/>
              </w:rPr>
              <w:t xml:space="preserve">NLP/ML engineer</w:t>
            </w:r>
          </w:p>
        </w:tc>
        <w:tc>
          <w:tcPr>
            <w:tcW w:type="dxa" w:w="5600"/>
            <w:shd w:fill="F7F7F7" w:val="clear"/>
            <w:tcMar>
              <w:top w:type="dxa" w:w="70"/>
              <w:left w:type="dxa" w:w="100"/>
              <w:bottom w:type="dxa" w:w="70"/>
              <w:right w:type="dxa" w:w="100"/>
            </w:tcMar>
          </w:tcPr>
          <w:p>
            <w:r>
              <w:rPr>
                <w:sz w:val="20"/>
                <w:szCs w:val="20"/>
              </w:rPr>
              <w:t xml:space="preserve">Entity extraction, entity resolution, relationship extraction</w:t>
            </w:r>
          </w:p>
        </w:tc>
      </w:tr>
      <w:tr>
        <w:tc>
          <w:tcPr>
            <w:tcW w:type="dxa" w:w="700"/>
            <w:shd w:fill="FFFFFF" w:val="clear"/>
            <w:tcMar>
              <w:top w:type="dxa" w:w="70"/>
              <w:left w:type="dxa" w:w="100"/>
              <w:bottom w:type="dxa" w:w="70"/>
              <w:right w:type="dxa" w:w="100"/>
            </w:tcMar>
          </w:tcPr>
          <w:p>
            <w:r>
              <w:rPr>
                <w:sz w:val="20"/>
                <w:szCs w:val="20"/>
              </w:rPr>
              <w:t xml:space="preserve">3</w:t>
            </w:r>
          </w:p>
        </w:tc>
        <w:tc>
          <w:tcPr>
            <w:tcW w:type="dxa" w:w="2600"/>
            <w:shd w:fill="FFFFFF" w:val="clear"/>
            <w:tcMar>
              <w:top w:type="dxa" w:w="70"/>
              <w:left w:type="dxa" w:w="100"/>
              <w:bottom w:type="dxa" w:w="70"/>
              <w:right w:type="dxa" w:w="100"/>
            </w:tcMar>
          </w:tcPr>
          <w:p>
            <w:r>
              <w:rPr>
                <w:sz w:val="20"/>
                <w:szCs w:val="20"/>
              </w:rPr>
              <w:t xml:space="preserve">Graph/backend engineer</w:t>
            </w:r>
          </w:p>
        </w:tc>
        <w:tc>
          <w:tcPr>
            <w:tcW w:type="dxa" w:w="5600"/>
            <w:shd w:fill="FFFFFF" w:val="clear"/>
            <w:tcMar>
              <w:top w:type="dxa" w:w="70"/>
              <w:left w:type="dxa" w:w="100"/>
              <w:bottom w:type="dxa" w:w="70"/>
              <w:right w:type="dxa" w:w="100"/>
            </w:tcMar>
          </w:tcPr>
          <w:p>
            <w:r>
              <w:rPr>
                <w:sz w:val="20"/>
                <w:szCs w:val="20"/>
              </w:rPr>
              <w:t xml:space="preserve">Neo4j schema (Section 7), graph analytics (centrality, community detection), API layer</w:t>
            </w:r>
          </w:p>
        </w:tc>
      </w:tr>
      <w:tr>
        <w:tc>
          <w:tcPr>
            <w:tcW w:type="dxa" w:w="700"/>
            <w:shd w:fill="F7F7F7" w:val="clear"/>
            <w:tcMar>
              <w:top w:type="dxa" w:w="70"/>
              <w:left w:type="dxa" w:w="100"/>
              <w:bottom w:type="dxa" w:w="70"/>
              <w:right w:type="dxa" w:w="100"/>
            </w:tcMar>
          </w:tcPr>
          <w:p>
            <w:r>
              <w:rPr>
                <w:sz w:val="20"/>
                <w:szCs w:val="20"/>
              </w:rPr>
              <w:t xml:space="preserve">4</w:t>
            </w:r>
          </w:p>
        </w:tc>
        <w:tc>
          <w:tcPr>
            <w:tcW w:type="dxa" w:w="2600"/>
            <w:shd w:fill="F7F7F7" w:val="clear"/>
            <w:tcMar>
              <w:top w:type="dxa" w:w="70"/>
              <w:left w:type="dxa" w:w="100"/>
              <w:bottom w:type="dxa" w:w="70"/>
              <w:right w:type="dxa" w:w="100"/>
            </w:tcMar>
          </w:tcPr>
          <w:p>
            <w:r>
              <w:rPr>
                <w:sz w:val="20"/>
                <w:szCs w:val="20"/>
              </w:rPr>
              <w:t xml:space="preserve">Backend/infra engineer</w:t>
            </w:r>
          </w:p>
        </w:tc>
        <w:tc>
          <w:tcPr>
            <w:tcW w:type="dxa" w:w="5600"/>
            <w:shd w:fill="F7F7F7" w:val="clear"/>
            <w:tcMar>
              <w:top w:type="dxa" w:w="70"/>
              <w:left w:type="dxa" w:w="100"/>
              <w:bottom w:type="dxa" w:w="70"/>
              <w:right w:type="dxa" w:w="100"/>
            </w:tcMar>
          </w:tcPr>
          <w:p>
            <w:r>
              <w:rPr>
                <w:sz w:val="20"/>
                <w:szCs w:val="20"/>
              </w:rPr>
              <w:t xml:space="preserve">PostgreSQL schema, auth, job queue, deployment (containerization)</w:t>
            </w:r>
          </w:p>
        </w:tc>
      </w:tr>
      <w:tr>
        <w:tc>
          <w:tcPr>
            <w:tcW w:type="dxa" w:w="700"/>
            <w:shd w:fill="FFFFFF" w:val="clear"/>
            <w:tcMar>
              <w:top w:type="dxa" w:w="70"/>
              <w:left w:type="dxa" w:w="100"/>
              <w:bottom w:type="dxa" w:w="70"/>
              <w:right w:type="dxa" w:w="100"/>
            </w:tcMar>
          </w:tcPr>
          <w:p>
            <w:r>
              <w:rPr>
                <w:sz w:val="20"/>
                <w:szCs w:val="20"/>
              </w:rPr>
              <w:t xml:space="preserve">5</w:t>
            </w:r>
          </w:p>
        </w:tc>
        <w:tc>
          <w:tcPr>
            <w:tcW w:type="dxa" w:w="2600"/>
            <w:shd w:fill="FFFFFF" w:val="clear"/>
            <w:tcMar>
              <w:top w:type="dxa" w:w="70"/>
              <w:left w:type="dxa" w:w="100"/>
              <w:bottom w:type="dxa" w:w="70"/>
              <w:right w:type="dxa" w:w="100"/>
            </w:tcMar>
          </w:tcPr>
          <w:p>
            <w:r>
              <w:rPr>
                <w:sz w:val="20"/>
                <w:szCs w:val="20"/>
              </w:rPr>
              <w:t xml:space="preserve">Frontend engineer</w:t>
            </w:r>
          </w:p>
        </w:tc>
        <w:tc>
          <w:tcPr>
            <w:tcW w:type="dxa" w:w="5600"/>
            <w:shd w:fill="FFFFFF" w:val="clear"/>
            <w:tcMar>
              <w:top w:type="dxa" w:w="70"/>
              <w:left w:type="dxa" w:w="100"/>
              <w:bottom w:type="dxa" w:w="70"/>
              <w:right w:type="dxa" w:w="100"/>
            </w:tcMar>
          </w:tcPr>
          <w:p>
            <w:r>
              <w:rPr>
                <w:sz w:val="20"/>
                <w:szCs w:val="20"/>
              </w:rPr>
              <w:t xml:space="preserve">Case workspace, Network Explorer graph UI, entity review queue</w:t>
            </w:r>
          </w:p>
        </w:tc>
      </w:tr>
      <w:tr>
        <w:tc>
          <w:tcPr>
            <w:tcW w:type="dxa" w:w="700"/>
            <w:shd w:fill="F7F7F7" w:val="clear"/>
            <w:tcMar>
              <w:top w:type="dxa" w:w="70"/>
              <w:left w:type="dxa" w:w="100"/>
              <w:bottom w:type="dxa" w:w="70"/>
              <w:right w:type="dxa" w:w="100"/>
            </w:tcMar>
          </w:tcPr>
          <w:p>
            <w:r>
              <w:rPr>
                <w:sz w:val="20"/>
                <w:szCs w:val="20"/>
              </w:rPr>
              <w:t xml:space="preserve">6</w:t>
            </w:r>
          </w:p>
        </w:tc>
        <w:tc>
          <w:tcPr>
            <w:tcW w:type="dxa" w:w="2600"/>
            <w:shd w:fill="F7F7F7" w:val="clear"/>
            <w:tcMar>
              <w:top w:type="dxa" w:w="70"/>
              <w:left w:type="dxa" w:w="100"/>
              <w:bottom w:type="dxa" w:w="70"/>
              <w:right w:type="dxa" w:w="100"/>
            </w:tcMar>
          </w:tcPr>
          <w:p>
            <w:r>
              <w:rPr>
                <w:sz w:val="20"/>
                <w:szCs w:val="20"/>
              </w:rPr>
              <w:t xml:space="preserve">Frontend + demo/PM lead</w:t>
            </w:r>
          </w:p>
        </w:tc>
        <w:tc>
          <w:tcPr>
            <w:tcW w:type="dxa" w:w="5600"/>
            <w:shd w:fill="F7F7F7" w:val="clear"/>
            <w:tcMar>
              <w:top w:type="dxa" w:w="70"/>
              <w:left w:type="dxa" w:w="100"/>
              <w:bottom w:type="dxa" w:w="70"/>
              <w:right w:type="dxa" w:w="100"/>
            </w:tcMar>
          </w:tcPr>
          <w:p>
            <w:r>
              <w:rPr>
                <w:sz w:val="20"/>
                <w:szCs w:val="20"/>
              </w:rPr>
              <w:t xml:space="preserve">Dashboard, flagship demo scripting &amp; rehearsal, judge Q&amp;A prep, pitch deck</w:t>
            </w:r>
          </w:p>
        </w:tc>
      </w:tr>
    </w:tbl>
    <w:p>
      <w:pPr>
        <w:spacing w:after="140" w:line="300"/>
      </w:pPr>
      <w:r>
        <w:t xml:space="preserve">Adjust to your actual team's strengths — the point is that every one of the 6 members should own a load-bearing piece of the MVP core (red path in Figure 4), not a stretch feature, until the core is demo-ready end to end.</w:t>
      </w:r>
    </w:p>
    <w:p>
      <w:pPr>
        <w:pStyle w:val="Heading2"/>
        <w:spacing w:after="120" w:before="260"/>
      </w:pPr>
      <w:r>
        <w:rPr>
          <w:b/>
          <w:bCs/>
          <w:color w:val="C55A11"/>
        </w:rPr>
        <w:t xml:space="preserve">10.2 What stays fully in-document, not in code</w:t>
      </w:r>
    </w:p>
    <w:p>
      <w:pPr>
        <w:pStyle w:val="ListParagraph"/>
        <w:numPr>
          <w:ilvl w:val="0"/>
          <w:numId w:val="1"/>
        </w:numPr>
        <w:spacing w:after="70"/>
      </w:pPr>
      <w:r>
        <w:t xml:space="preserve">Temporal intelligence layer — describe it in the pitch as designed/architected, don't fake a live temporal UI unless core is done early.</w:t>
      </w:r>
    </w:p>
    <w:p>
      <w:pPr>
        <w:pStyle w:val="ListParagraph"/>
        <w:numPr>
          <w:ilvl w:val="0"/>
          <w:numId w:val="1"/>
        </w:numPr>
        <w:spacing w:after="70"/>
      </w:pPr>
      <w:r>
        <w:t xml:space="preserve">Geospatial clustering — same treatment; a static map screenshot in the deck is fine if not built live.</w:t>
      </w:r>
    </w:p>
    <w:p>
      <w:pPr>
        <w:pStyle w:val="ListParagraph"/>
        <w:numPr>
          <w:ilvl w:val="0"/>
          <w:numId w:val="1"/>
        </w:numPr>
        <w:spacing w:after="70"/>
      </w:pPr>
      <w:r>
        <w:t xml:space="preserve">Cross-case bridge analysis — this needs multiple cases with real depth; likely out of scope for a single-case hackathon demo.</w:t>
      </w:r>
    </w:p>
    <w:p>
      <w:pPr>
        <w:pStyle w:val="ListParagraph"/>
        <w:numPr>
          <w:ilvl w:val="0"/>
          <w:numId w:val="1"/>
        </w:numPr>
        <w:spacing w:after="70"/>
      </w:pPr>
      <w:r>
        <w:t xml:space="preserve">Full RAG assistant with citations — a simplified, narrowly-scoped Q&amp;A over the one demo case is achievable; a general-purpose assistant is not.</w:t>
      </w:r>
    </w:p>
    <w:p>
      <w:r>
        <w:br w:type="page"/>
      </w:r>
    </w:p>
    <w:p>
      <w:pPr>
        <w:pStyle w:val="Heading1"/>
        <w:pBdr>
          <w:bottom w:val="single" w:color="1F4E79" w:sz="8" w:space="4"/>
        </w:pBdr>
        <w:spacing w:after="160" w:before="360"/>
      </w:pPr>
      <w:r>
        <w:rPr>
          <w:b/>
          <w:bCs/>
          <w:color w:val="1F4E79"/>
        </w:rPr>
        <w:t xml:space="preserve">11. Build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Phase</w:t>
            </w:r>
          </w:p>
        </w:tc>
        <w:tc>
          <w:tcPr>
            <w:tcW w:type="dxa" w:w="6500"/>
            <w:shd w:fill="1F4E79" w:val="clear"/>
            <w:tcMar>
              <w:top w:type="dxa" w:w="80"/>
              <w:left w:type="dxa" w:w="100"/>
              <w:bottom w:type="dxa" w:w="80"/>
              <w:right w:type="dxa" w:w="100"/>
            </w:tcMar>
          </w:tcPr>
          <w:p>
            <w:r>
              <w:rPr>
                <w:b/>
                <w:bCs/>
                <w:color w:val="FFFFFF"/>
                <w:sz w:val="20"/>
                <w:szCs w:val="20"/>
              </w:rPr>
              <w:t xml:space="preserve">Deliverable</w:t>
            </w:r>
          </w:p>
        </w:tc>
      </w:tr>
      <w:tr>
        <w:tc>
          <w:tcPr>
            <w:tcW w:type="dxa" w:w="2600"/>
            <w:shd w:fill="FFFFFF" w:val="clear"/>
            <w:tcMar>
              <w:top w:type="dxa" w:w="70"/>
              <w:left w:type="dxa" w:w="100"/>
              <w:bottom w:type="dxa" w:w="70"/>
              <w:right w:type="dxa" w:w="100"/>
            </w:tcMar>
          </w:tcPr>
          <w:p>
            <w:r>
              <w:rPr>
                <w:sz w:val="20"/>
                <w:szCs w:val="20"/>
              </w:rPr>
              <w:t xml:space="preserve">Phase 0 — Foundation</w:t>
            </w:r>
          </w:p>
        </w:tc>
        <w:tc>
          <w:tcPr>
            <w:tcW w:type="dxa" w:w="6500"/>
            <w:shd w:fill="FFFFFF" w:val="clear"/>
            <w:tcMar>
              <w:top w:type="dxa" w:w="70"/>
              <w:left w:type="dxa" w:w="100"/>
              <w:bottom w:type="dxa" w:w="70"/>
              <w:right w:type="dxa" w:w="100"/>
            </w:tcMar>
          </w:tcPr>
          <w:p>
            <w:r>
              <w:rPr>
                <w:sz w:val="20"/>
                <w:szCs w:val="20"/>
              </w:rPr>
              <w:t xml:space="preserve">Ground-truth dataset, PostgreSQL + Neo4j schema, repo &amp; container setup</w:t>
            </w:r>
          </w:p>
        </w:tc>
      </w:tr>
      <w:tr>
        <w:tc>
          <w:tcPr>
            <w:tcW w:type="dxa" w:w="2600"/>
            <w:shd w:fill="F7F7F7" w:val="clear"/>
            <w:tcMar>
              <w:top w:type="dxa" w:w="70"/>
              <w:left w:type="dxa" w:w="100"/>
              <w:bottom w:type="dxa" w:w="70"/>
              <w:right w:type="dxa" w:w="100"/>
            </w:tcMar>
          </w:tcPr>
          <w:p>
            <w:r>
              <w:rPr>
                <w:sz w:val="20"/>
                <w:szCs w:val="20"/>
              </w:rPr>
              <w:t xml:space="preserve">Phase 1 — Pipeline</w:t>
            </w:r>
          </w:p>
        </w:tc>
        <w:tc>
          <w:tcPr>
            <w:tcW w:type="dxa" w:w="6500"/>
            <w:shd w:fill="F7F7F7" w:val="clear"/>
            <w:tcMar>
              <w:top w:type="dxa" w:w="70"/>
              <w:left w:type="dxa" w:w="100"/>
              <w:bottom w:type="dxa" w:w="70"/>
              <w:right w:type="dxa" w:w="100"/>
            </w:tcMar>
          </w:tcPr>
          <w:p>
            <w:r>
              <w:rPr>
                <w:sz w:val="20"/>
                <w:szCs w:val="20"/>
              </w:rPr>
              <w:t xml:space="preserve">Ingestion → NLP extraction → entity resolution, working end-to-end on synthetic data</w:t>
            </w:r>
          </w:p>
        </w:tc>
      </w:tr>
      <w:tr>
        <w:tc>
          <w:tcPr>
            <w:tcW w:type="dxa" w:w="2600"/>
            <w:shd w:fill="FFFFFF" w:val="clear"/>
            <w:tcMar>
              <w:top w:type="dxa" w:w="70"/>
              <w:left w:type="dxa" w:w="100"/>
              <w:bottom w:type="dxa" w:w="70"/>
              <w:right w:type="dxa" w:w="100"/>
            </w:tcMar>
          </w:tcPr>
          <w:p>
            <w:r>
              <w:rPr>
                <w:sz w:val="20"/>
                <w:szCs w:val="20"/>
              </w:rPr>
              <w:t xml:space="preserve">Phase 2 — Graph Intelligence</w:t>
            </w:r>
          </w:p>
        </w:tc>
        <w:tc>
          <w:tcPr>
            <w:tcW w:type="dxa" w:w="6500"/>
            <w:shd w:fill="FFFFFF" w:val="clear"/>
            <w:tcMar>
              <w:top w:type="dxa" w:w="70"/>
              <w:left w:type="dxa" w:w="100"/>
              <w:bottom w:type="dxa" w:w="70"/>
              <w:right w:type="dxa" w:w="100"/>
            </w:tcMar>
          </w:tcPr>
          <w:p>
            <w:r>
              <w:rPr>
                <w:sz w:val="20"/>
                <w:szCs w:val="20"/>
              </w:rPr>
              <w:t xml:space="preserve">Graph load into Neo4j, centrality + community detection, confidence-scored edges</w:t>
            </w:r>
          </w:p>
        </w:tc>
      </w:tr>
      <w:tr>
        <w:tc>
          <w:tcPr>
            <w:tcW w:type="dxa" w:w="2600"/>
            <w:shd w:fill="F7F7F7" w:val="clear"/>
            <w:tcMar>
              <w:top w:type="dxa" w:w="70"/>
              <w:left w:type="dxa" w:w="100"/>
              <w:bottom w:type="dxa" w:w="70"/>
              <w:right w:type="dxa" w:w="100"/>
            </w:tcMar>
          </w:tcPr>
          <w:p>
            <w:r>
              <w:rPr>
                <w:sz w:val="20"/>
                <w:szCs w:val="20"/>
              </w:rPr>
              <w:t xml:space="preserve">Phase 3 — Investigator UI</w:t>
            </w:r>
          </w:p>
        </w:tc>
        <w:tc>
          <w:tcPr>
            <w:tcW w:type="dxa" w:w="6500"/>
            <w:shd w:fill="F7F7F7" w:val="clear"/>
            <w:tcMar>
              <w:top w:type="dxa" w:w="70"/>
              <w:left w:type="dxa" w:w="100"/>
              <w:bottom w:type="dxa" w:w="70"/>
              <w:right w:type="dxa" w:w="100"/>
            </w:tcMar>
          </w:tcPr>
          <w:p>
            <w:r>
              <w:rPr>
                <w:sz w:val="20"/>
                <w:szCs w:val="20"/>
              </w:rPr>
              <w:t xml:space="preserve">Case workspace, entity review queue, Network Explorer graph view</w:t>
            </w:r>
          </w:p>
        </w:tc>
      </w:tr>
      <w:tr>
        <w:tc>
          <w:tcPr>
            <w:tcW w:type="dxa" w:w="2600"/>
            <w:shd w:fill="FFFFFF" w:val="clear"/>
            <w:tcMar>
              <w:top w:type="dxa" w:w="70"/>
              <w:left w:type="dxa" w:w="100"/>
              <w:bottom w:type="dxa" w:w="70"/>
              <w:right w:type="dxa" w:w="100"/>
            </w:tcMar>
          </w:tcPr>
          <w:p>
            <w:r>
              <w:rPr>
                <w:sz w:val="20"/>
                <w:szCs w:val="20"/>
              </w:rPr>
              <w:t xml:space="preserve">Phase 4 — Demo Hardening</w:t>
            </w:r>
          </w:p>
        </w:tc>
        <w:tc>
          <w:tcPr>
            <w:tcW w:type="dxa" w:w="6500"/>
            <w:shd w:fill="FFFFFF" w:val="clear"/>
            <w:tcMar>
              <w:top w:type="dxa" w:w="70"/>
              <w:left w:type="dxa" w:w="100"/>
              <w:bottom w:type="dxa" w:w="70"/>
              <w:right w:type="dxa" w:w="100"/>
            </w:tcMar>
          </w:tcPr>
          <w:p>
            <w:r>
              <w:rPr>
                <w:sz w:val="20"/>
                <w:szCs w:val="20"/>
              </w:rPr>
              <w:t xml:space="preserve">Judge-facing demo mode, reset-to-known-state, recorded backup video, Q&amp;A rehearsal</w:t>
            </w:r>
          </w:p>
        </w:tc>
      </w:tr>
      <w:tr>
        <w:tc>
          <w:tcPr>
            <w:tcW w:type="dxa" w:w="2600"/>
            <w:shd w:fill="F7F7F7" w:val="clear"/>
            <w:tcMar>
              <w:top w:type="dxa" w:w="70"/>
              <w:left w:type="dxa" w:w="100"/>
              <w:bottom w:type="dxa" w:w="70"/>
              <w:right w:type="dxa" w:w="100"/>
            </w:tcMar>
          </w:tcPr>
          <w:p>
            <w:r>
              <w:rPr>
                <w:sz w:val="20"/>
                <w:szCs w:val="20"/>
              </w:rPr>
              <w:t xml:space="preserve">Phase 5 — Stretch (if time)</w:t>
            </w:r>
          </w:p>
        </w:tc>
        <w:tc>
          <w:tcPr>
            <w:tcW w:type="dxa" w:w="6500"/>
            <w:shd w:fill="F7F7F7" w:val="clear"/>
            <w:tcMar>
              <w:top w:type="dxa" w:w="70"/>
              <w:left w:type="dxa" w:w="100"/>
              <w:bottom w:type="dxa" w:w="70"/>
              <w:right w:type="dxa" w:w="100"/>
            </w:tcMar>
          </w:tcPr>
          <w:p>
            <w:r>
              <w:rPr>
                <w:sz w:val="20"/>
                <w:szCs w:val="20"/>
              </w:rPr>
              <w:t xml:space="preserve">Temporal layer, geospatial layer, RAG assistant</w:t>
            </w:r>
          </w:p>
        </w:tc>
      </w:tr>
    </w:tbl>
    <w:p>
      <w:r>
        <w:br w:type="page"/>
      </w:r>
    </w:p>
    <w:p>
      <w:pPr>
        <w:pStyle w:val="Heading1"/>
        <w:pBdr>
          <w:bottom w:val="single" w:color="1F4E79" w:sz="8" w:space="4"/>
        </w:pBdr>
        <w:spacing w:after="160" w:before="360"/>
      </w:pPr>
      <w:r>
        <w:rPr>
          <w:b/>
          <w:bCs/>
          <w:color w:val="1F4E79"/>
        </w:rPr>
        <w:t xml:space="preserve">12. Overall Assessment &amp; Recommendations</w:t>
      </w:r>
    </w:p>
    <w:p>
      <w:pPr>
        <w:pStyle w:val="Heading2"/>
        <w:spacing w:after="120" w:before="260"/>
      </w:pPr>
      <w:r>
        <w:rPr>
          <w:b/>
          <w:bCs/>
          <w:color w:val="C55A11"/>
        </w:rPr>
        <w:t xml:space="preserve">Overall take</w:t>
      </w:r>
    </w:p>
    <w:p>
      <w:pPr>
        <w:spacing w:after="140" w:line="300"/>
      </w:pPr>
      <w:r>
        <w:t xml:space="preserve">This is well above typical SIH prep quality. The framing discipline (Extract → Reconcile → Connect → Analyze → Explain → Assist), the explicit ethical non-claims, the hybrid-AI philosophy, and the named architecture risks with mitigations all show mature systems thinking — not just an AI feature bolted onto a graph viewer. The single biggest gap across the original 5 parts was that everything was a specification, not yet a build plan; Sections 7, 9, and 10 of this document exist specifically to close that gap.</w:t>
      </w:r>
    </w:p>
    <w:p>
      <w:pPr>
        <w:pStyle w:val="Heading2"/>
        <w:spacing w:after="120" w:before="260"/>
      </w:pPr>
      <w:r>
        <w:rPr>
          <w:b/>
          <w:bCs/>
          <w:color w:val="C55A11"/>
        </w:rPr>
        <w:t xml:space="preserve">Top 5 recommendations, in priority order</w:t>
      </w:r>
    </w:p>
    <w:p>
      <w:pPr>
        <w:pStyle w:val="ListParagraph"/>
        <w:numPr>
          <w:ilvl w:val="0"/>
          <w:numId w:val="1"/>
        </w:numPr>
        <w:spacing w:after="70"/>
      </w:pPr>
      <w:r>
        <w:t xml:space="preserve">Protect the flagship demo (Section 6) above everything else — build backward from it, not forward from the architecture.</w:t>
      </w:r>
    </w:p>
    <w:p>
      <w:pPr>
        <w:pStyle w:val="ListParagraph"/>
        <w:numPr>
          <w:ilvl w:val="0"/>
          <w:numId w:val="1"/>
        </w:numPr>
        <w:spacing w:after="70"/>
      </w:pPr>
      <w:r>
        <w:t xml:space="preserve">Build the synthetic data generator (Section 9) in week 1, not as an afterthought — your whole credibility rests on it.</w:t>
      </w:r>
    </w:p>
    <w:p>
      <w:pPr>
        <w:pStyle w:val="ListParagraph"/>
        <w:numPr>
          <w:ilvl w:val="0"/>
          <w:numId w:val="1"/>
        </w:numPr>
        <w:spacing w:after="70"/>
      </w:pPr>
      <w:r>
        <w:t xml:space="preserve">Cut scope honestly using Section 10 before your team writes a line of backend code — 5 documents' worth of architecture is not 5 documents' worth of hackathon build time.</w:t>
      </w:r>
    </w:p>
    <w:p>
      <w:pPr>
        <w:pStyle w:val="ListParagraph"/>
        <w:numPr>
          <w:ilvl w:val="0"/>
          <w:numId w:val="1"/>
        </w:numPr>
        <w:spacing w:after="70"/>
      </w:pPr>
      <w:r>
        <w:t xml:space="preserve">Keep the 'What We Will NOT Claim' framing (Section 3) visible in the pitch deck itself, not just the docs — it's a genuine differentiator with an MHA-sponsored, civil-liberties-sensitive problem statement.</w:t>
      </w:r>
    </w:p>
    <w:p>
      <w:pPr>
        <w:pStyle w:val="ListParagraph"/>
        <w:numPr>
          <w:ilvl w:val="0"/>
          <w:numId w:val="1"/>
        </w:numPr>
        <w:spacing w:after="70"/>
      </w:pPr>
      <w:r>
        <w:t xml:space="preserve">Rehearse a recorded backup of the full flagship demo flow — live graph demos are the single most common hackathon failure point.</w:t>
      </w:r>
    </w:p>
    <w:p>
      <w:pPr>
        <w:pStyle w:val="Heading2"/>
        <w:spacing w:after="120" w:before="260"/>
      </w:pPr>
      <w:r>
        <w:rPr>
          <w:b/>
          <w:bCs/>
          <w:color w:val="C55A11"/>
        </w:rPr>
        <w:t xml:space="preserve">Final note</w:t>
      </w:r>
    </w:p>
    <w:p>
      <w:pPr>
        <w:spacing w:after="140" w:line="300"/>
      </w:pPr>
      <w:r>
        <w:rPr>
          <w:i/>
          <w:iCs/>
        </w:rPr>
        <w:t xml:space="preserve">The architecture is sound and the differentiation story is genuinely strong. The risk isn't the idea — it's execution discipline under a hard deadline. Everything in Sections 9–11 exists to convert your excellent planning into something your team can actually finish and defend 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CRIMENET AI — SIH26189 — Consolidated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eeff9cd6cdc6dd50d04f08c55643104a5908db.png"/><Relationship Id="rId10" Type="http://schemas.openxmlformats.org/officeDocument/2006/relationships/image" Target="media/8fe6fc57fdbd0e2b5b4daa6b068802b542dc0b16.png"/><Relationship Id="rId11" Type="http://schemas.openxmlformats.org/officeDocument/2006/relationships/image" Target="media/59e11e41ab0bd113fe9bedfb0e63afc411b2ff62.png"/><Relationship Id="rId12" Type="http://schemas.openxmlformats.org/officeDocument/2006/relationships/image" Target="media/fdf2f988b5c3e5a505668063d7317e288c836c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2026-08-30T06:04:13.665Z</dcterms:created>
  <dcterms:modified xsi:type="dcterms:W3CDTF">2026-08-30T06:04:13.665Z</dcterms:modified>
</cp:coreProperties>
</file>

<file path=docProps/custom.xml><?xml version="1.0" encoding="utf-8"?>
<Properties xmlns="http://schemas.openxmlformats.org/officeDocument/2006/custom-properties" xmlns:vt="http://schemas.openxmlformats.org/officeDocument/2006/docPropsVTypes"/>
</file>