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Lab History &amp; Biomarker</w:t>
        <w:br/>
        <w:t>Trend Analysis</w:t>
      </w:r>
    </w:p>
    <w:p>
      <w:pPr>
        <w:jc w:val="center"/>
      </w:pPr>
      <w:r>
        <w:rPr>
          <w:color w:val="595959"/>
          <w:sz w:val="32"/>
        </w:rPr>
        <w:t>Technical Documentation</w:t>
      </w:r>
    </w:p>
    <w:p/>
    <w:p>
      <w:pPr>
        <w:jc w:val="center"/>
      </w:pPr>
      <w:r>
        <w:rPr>
          <w:sz w:val="24"/>
        </w:rPr>
        <w:t>Zivaa Health Platform</w:t>
        <w:br/>
      </w:r>
      <w:r>
        <w:rPr>
          <w:sz w:val="20"/>
        </w:rPr>
        <w:t xml:space="preserve">Backend Service: </w:t>
      </w:r>
      <w:r>
        <w:rPr>
          <w:i/>
          <w:sz w:val="20"/>
        </w:rPr>
        <w:t>app/services/lab_history.py</w:t>
      </w:r>
      <w:r>
        <w:rPr>
          <w:sz w:val="20"/>
        </w:rPr>
        <w:br/>
        <w:br/>
        <w:t>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Overview</w:t>
      </w:r>
    </w:p>
    <w:p>
      <w:pPr>
        <w:spacing w:after="40" w:before="0"/>
      </w:pPr>
      <w:r>
        <w:t>2. Architecture</w:t>
      </w:r>
    </w:p>
    <w:p>
      <w:pPr>
        <w:spacing w:after="40" w:before="0"/>
      </w:pPr>
      <w:r>
        <w:t>3. API Endpoints</w:t>
      </w:r>
    </w:p>
    <w:p>
      <w:pPr>
        <w:spacing w:after="40" w:before="0"/>
      </w:pPr>
      <w:r>
        <w:t>4. Raw Lab History (get_patient_lab_history)</w:t>
      </w:r>
    </w:p>
    <w:p>
      <w:pPr>
        <w:spacing w:after="40" w:before="0"/>
      </w:pPr>
      <w:r>
        <w:t>5. Biomarker Trend Analysis (get_patient_lab_trends)</w:t>
      </w:r>
    </w:p>
    <w:p>
      <w:pPr>
        <w:spacing w:after="40" w:before="0"/>
      </w:pPr>
      <w:r>
        <w:t xml:space="preserve">   5.1 Reference Change Value (RCV)</w:t>
      </w:r>
    </w:p>
    <w:p>
      <w:pPr>
        <w:spacing w:after="40" w:before="0"/>
      </w:pPr>
      <w:r>
        <w:t xml:space="preserve">   5.2 EFLM Biological Variation Database</w:t>
      </w:r>
    </w:p>
    <w:p>
      <w:pPr>
        <w:spacing w:after="40" w:before="0"/>
      </w:pPr>
      <w:r>
        <w:t xml:space="preserve">   5.3 Two-Tier Trend Direction Algorithm</w:t>
      </w:r>
    </w:p>
    <w:p>
      <w:pPr>
        <w:spacing w:after="40" w:before="0"/>
      </w:pPr>
      <w:r>
        <w:t xml:space="preserve">   5.4 Zone Classification</w:t>
      </w:r>
    </w:p>
    <w:p>
      <w:pPr>
        <w:spacing w:after="40" w:before="0"/>
      </w:pPr>
      <w:r>
        <w:t xml:space="preserve">   5.5 Clinical Flag Decision Matrix</w:t>
      </w:r>
    </w:p>
    <w:p>
      <w:pPr>
        <w:spacing w:after="40" w:before="0"/>
      </w:pPr>
      <w:r>
        <w:t xml:space="preserve">   5.6 Inverse-Polarity Biomarkers</w:t>
      </w:r>
    </w:p>
    <w:p>
      <w:pPr>
        <w:spacing w:after="40" w:before="0"/>
      </w:pPr>
      <w:r>
        <w:t xml:space="preserve">   5.7 Rate-of-Change Alerts</w:t>
      </w:r>
    </w:p>
    <w:p>
      <w:pPr>
        <w:spacing w:after="40" w:before="0"/>
      </w:pPr>
      <w:r>
        <w:t>6. Example Output (Ranjit's Lab Data)</w:t>
      </w:r>
    </w:p>
    <w:p>
      <w:pPr>
        <w:spacing w:after="40" w:before="0"/>
      </w:pPr>
      <w:r>
        <w:t>7. Evidence Strength Assessment</w:t>
      </w:r>
    </w:p>
    <w:p>
      <w:pPr>
        <w:spacing w:after="40" w:before="0"/>
      </w:pPr>
      <w:r>
        <w:t>8. Citations &amp; References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The Lab History module provides two core capabilities for the Zivaa health platform:</w:t>
      </w:r>
    </w:p>
    <w:p>
      <w:pPr>
        <w:pStyle w:val="ListBullet"/>
      </w:pPr>
      <w:r>
        <w:t>Raw Lab History: Fetches all historical lab results for a patient from Supabase, groups them by biomarker code, and returns chronologically sorted readings with reference ranges. This powers frontend tables and charts.</w:t>
      </w:r>
    </w:p>
    <w:p>
      <w:pPr>
        <w:pStyle w:val="ListBullet"/>
      </w:pPr>
      <w:r>
        <w:t>Biomarker Trend Analysis: Computes per-biomarker trend direction, rate of change, zone classification, and clinical interpretation. Uses published biological variation data (EFLM database) to distinguish real clinical trends from normal biological noise.</w:t>
      </w:r>
    </w:p>
    <w:p>
      <w:r>
        <w:t>The module is designed for a caregiver-facing application where family members monitor elderly patients' lab results over time. The trend analysis answers the core question: "Is this biomarker getting better, worse, or staying the same?"</w:t>
      </w:r>
    </w:p>
    <w:p>
      <w:pPr>
        <w:pStyle w:val="Heading1"/>
      </w:pPr>
      <w:r>
        <w:t>2. Architecture</w:t>
      </w:r>
    </w:p>
    <w:p>
      <w:r>
        <w:t>The module follows a layered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Supabase (lab_results table)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Stores raw lab readings with biomarker codes, values, units, reference ranges, and flags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get_patient_lab_history()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Pure data retrieval -- fetches and groups lab results by biomarker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get_patient_lab_trends()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Trend computation -- calls lab_history internally, then computes direction, rate, zone, and clinical flag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 /lab-history/{patient_id}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Exposes raw history for frontend tables/charts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 /lab-trends/{patient_id}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Exposes computed trend analysis with RCV thresholds</w:t>
            </w:r>
          </w:p>
        </w:tc>
      </w:tr>
    </w:tbl>
    <w:p/>
    <w:p>
      <w:r>
        <w:t>Key design decision: get_patient_lab_trends() internally calls get_patient_lab_history() rather than querying Supabase directly. This avoids duplicating the database query logic and ensures consistency between the raw data and the trend computation.</w:t>
      </w:r>
    </w:p>
    <w:p>
      <w:pPr>
        <w:pStyle w:val="Heading1"/>
      </w:pPr>
      <w:r>
        <w:t>3. API Endpoints</w:t>
      </w:r>
    </w:p>
    <w:p>
      <w:pPr>
        <w:pStyle w:val="Heading2"/>
      </w:pPr>
      <w:r>
        <w:t>GET /api/v1/health/lab-history/{patient_id}</w:t>
      </w:r>
    </w:p>
    <w:p>
      <w:r>
        <w:t>Returns raw chronological lab data grouped by biomarker. Supports optional filtering via ?biomarker=HBA1C&amp;biomarker=FBS. The available_biomarkers list is always unfiltered (for UI dropdowns).</w:t>
      </w:r>
    </w:p>
    <w:p>
      <w:pPr>
        <w:pStyle w:val="Heading2"/>
      </w:pPr>
      <w:r>
        <w:t>GET /api/v1/health/lab-trends/{patient_id}</w:t>
      </w:r>
    </w:p>
    <w:p>
      <w:r>
        <w:t>Returns computed trend analysis per biomarker. Each entry includes: trend_direction, change_absolute, change_percent, rate_per_month, zone, clinical_flag, rcv_threshold_pct, and optionally rate_alert. Supports the same ?biomarker= filtering.</w:t>
      </w:r>
    </w:p>
    <w:p>
      <w:pPr>
        <w:pStyle w:val="Heading1"/>
      </w:pPr>
      <w:r>
        <w:t>4. Raw Lab History</w:t>
      </w:r>
    </w:p>
    <w:p>
      <w:r>
        <w:t>The get_patient_lab_history() function is a pure data-retrieval function with no trend computation. It:</w:t>
      </w:r>
    </w:p>
    <w:p>
      <w:pPr>
        <w:pStyle w:val="ListNumber"/>
      </w:pPr>
      <w:r>
        <w:t>Queries the lab_results table in Supabase for all records matching the patient_id, ordered by measured_at ascending.</w:t>
      </w:r>
    </w:p>
    <w:p>
      <w:pPr>
        <w:pStyle w:val="ListNumber"/>
      </w:pPr>
      <w:r>
        <w:t>Joins to the lab_reports table to pull report_name and lab_name for each reading.</w:t>
      </w:r>
    </w:p>
    <w:p>
      <w:pPr>
        <w:pStyle w:val="ListNumber"/>
      </w:pPr>
      <w:r>
        <w:t>Extracts all unique biomarker codes into an available_biomarkers list (always unfiltered, for frontend dropdown menus).</w:t>
      </w:r>
    </w:p>
    <w:p>
      <w:pPr>
        <w:pStyle w:val="ListNumber"/>
      </w:pPr>
      <w:r>
        <w:t>Groups readings by biomarker_code into comparison_data, applying the optional biomarker_codes filter.</w:t>
      </w:r>
    </w:p>
    <w:p>
      <w:pPr>
        <w:pStyle w:val="ListNumber"/>
      </w:pPr>
      <w:r>
        <w:t>Each biomarker group includes: code, name, unit, reference_low, reference_high, category, and a chronological history array.</w:t>
      </w:r>
    </w:p>
    <w:p>
      <w:r>
        <w:t>The reference_low and reference_high values come directly from the lab reports stored in Supabase. These are set by the clinical laboratory that performed the test, following CLSI EP28-A3c guidelines (central 95% interval of a healthy reference population).</w:t>
      </w:r>
    </w:p>
    <w:p>
      <w:pPr>
        <w:pStyle w:val="Heading1"/>
      </w:pPr>
      <w:r>
        <w:t>5. Biomarker Trend Analysis</w:t>
      </w:r>
    </w:p>
    <w:p>
      <w:r>
        <w:t>The trend analysis layer computes five fields per biomarker: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trend_direction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rising | declining | stable | fluctuating | insufficient_data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change_absolute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Latest value minus first value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change_percent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Percentage change from first to latest reading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rate_per_month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Absolute change divided by elapsed months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zone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Where the latest value sits vs. the reference range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clinical_flag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improving | worsening | stable | needs_attention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rcv_threshold_pct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The RCV percentage applied (for auditability)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rate_alert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object?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Present only if rate exceeds a published clinical threshold</w:t>
            </w:r>
          </w:p>
        </w:tc>
      </w:tr>
    </w:tbl>
    <w:p>
      <w:pPr>
        <w:pStyle w:val="Heading2"/>
      </w:pPr>
      <w:r>
        <w:t>5.1 Reference Change Value (RCV)</w:t>
      </w:r>
    </w:p>
    <w:p>
      <w:r>
        <w:t>The central clinical question in trend analysis is: "Is the difference between two lab readings a real change, or just normal biological and analytical noise?"</w:t>
      </w:r>
    </w:p>
    <w:p>
      <w:r>
        <w:t>The Reference Change Value (RCV) answers this question. It is the minimum percentage change between two consecutive readings that is statistically significant at the 95% confidence level, accounting for both analytical imprecision and within-subject biological variation.</w:t>
      </w:r>
    </w:p>
    <w:p>
      <w:pPr>
        <w:jc w:val="center"/>
      </w:pPr>
      <w:r>
        <w:rPr>
          <w:b/>
          <w:sz w:val="26"/>
        </w:rPr>
        <w:t>RCV = √2 × Z × √(CVa² + CVi²)</w:t>
      </w:r>
    </w:p>
    <w:p/>
    <w:p>
      <w:pPr>
        <w:pStyle w:val="ListBullet"/>
      </w:pPr>
      <w:r>
        <w:t>CVi = within-subject biological coefficient of variation (%)</w:t>
      </w:r>
    </w:p>
    <w:p>
      <w:pPr>
        <w:pStyle w:val="ListBullet"/>
      </w:pPr>
      <w:r>
        <w:t>CVa = analytical coefficient of variation (%)</w:t>
      </w:r>
    </w:p>
    <w:p>
      <w:pPr>
        <w:pStyle w:val="ListBullet"/>
      </w:pPr>
      <w:r>
        <w:t>Z = 1.96 for 95% bidirectional confidence (recommended by Fraser 2001)</w:t>
      </w:r>
    </w:p>
    <w:p>
      <w:r>
        <w:t>Example: For HbA1c (CVi=1.9%, CVa=1.5%), RCV = √2 × 1.96 × √(1.5² + 1.9²) = 6.7%. This means a change of less than 6.7% between two HbA1c readings cannot be distinguished from normal biological fluctuation.</w:t>
      </w:r>
    </w:p>
    <w:p>
      <w:pPr>
        <w:pStyle w:val="Heading2"/>
      </w:pPr>
      <w:r>
        <w:t>5.2 EFLM Biological Variation Database</w:t>
      </w:r>
    </w:p>
    <w:p>
      <w:r>
        <w:t>The CVi and CVa values are sourced from the EFLM (European Federation of Clinical Chemistry and Laboratory Medicine) Biological Variation Database (https://biologicalvariation.eu/), with primary sources from Aarsand et al. 2018 and Ricos et al. 1999.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Biomarker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CVi (%)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CVa (%)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18"/>
              </w:rPr>
              <w:t>RCV (%)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HbA1c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6.7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Fasting Blood Sugar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16.5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Post-Prandial Glucose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34.7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 Cholesterol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HDL Cholesterol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LDL Cholesterol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8.3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23.7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20.9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58.3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Blood Urea Nitrogen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12.3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34.6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eGFR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15.9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Derived from Creatinine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Uric Acid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24.3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Aarsand 2018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8.8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32.2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Ferritin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14.2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40.6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CRP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42.0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116.8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ESR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52.3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TSH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19.3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54.1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40.2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Vitamin B12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33.5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Ricos 1999</w:t>
            </w:r>
          </w:p>
        </w:tc>
      </w:tr>
    </w:tbl>
    <w:p/>
    <w:p>
      <w:r>
        <w:rPr>
          <w:b/>
        </w:rPr>
        <w:t xml:space="preserve">Clinical insight: </w:t>
      </w:r>
      <w:r>
        <w:t>Note the extreme variation in RCV across biomarkers. CRP has an RCV of 116.8% -- meaning a CRP reading that doubles might still be within normal biological noise. In contrast, HbA1c has an RCV of only 6.7%, so even small changes are clinically meaningful. This is why a single universal noise threshold (like "2% of range") would produce false trends for high-variation markers and miss real trends for low-variation markers.</w:t>
      </w:r>
    </w:p>
    <w:p>
      <w:pPr>
        <w:pStyle w:val="Heading2"/>
      </w:pPr>
      <w:r>
        <w:t>5.3 Two-Tier Trend Direction Algorithm</w:t>
      </w:r>
    </w:p>
    <w:p>
      <w:r>
        <w:t>The trend direction is computed using a two-tier analysis:</w:t>
      </w:r>
    </w:p>
    <w:p>
      <w:pPr>
        <w:pStyle w:val="Heading3"/>
      </w:pPr>
      <w:r>
        <w:t>Tier 1: Per-Step Analysis</w:t>
      </w:r>
    </w:p>
    <w:p>
      <w:r>
        <w:t>Each consecutive pair of readings is compared. The percentage change between each pair is calculated, and if it exceeds the biomarker's RCV threshold, it is counted as a "significant" step (either "up" or "down"). If any step exceeds RCV:</w:t>
      </w:r>
    </w:p>
    <w:p>
      <w:pPr>
        <w:pStyle w:val="ListBullet"/>
      </w:pPr>
      <w:r>
        <w:t>All significant steps are "up" --&gt; rising</w:t>
      </w:r>
    </w:p>
    <w:p>
      <w:pPr>
        <w:pStyle w:val="ListBullet"/>
      </w:pPr>
      <w:r>
        <w:t>All significant steps are "down" --&gt; declining</w:t>
      </w:r>
    </w:p>
    <w:p>
      <w:pPr>
        <w:pStyle w:val="ListBullet"/>
      </w:pPr>
      <w:r>
        <w:t>Mixed directions --&gt; fluctuating</w:t>
      </w:r>
    </w:p>
    <w:p>
      <w:pPr>
        <w:pStyle w:val="Heading3"/>
      </w:pPr>
      <w:r>
        <w:t>Tier 2: Cumulative Drift Detection</w:t>
      </w:r>
    </w:p>
    <w:p>
      <w:r>
        <w:t>If no single step exceeds RCV (Tier 1 finds nothing), the algorithm checks whether the overall first-to-last change exceeds RCV AND all individual deltas are in the same direction (monotonic). This catches gradual cumulative drift.</w:t>
      </w:r>
    </w:p>
    <w:p>
      <w:r>
        <w:rPr>
          <w:b/>
        </w:rPr>
        <w:t xml:space="preserve">Example: </w:t>
      </w:r>
      <w:r>
        <w:t>HbA1c readings 5.8% --&gt; 6.1% --&gt; 6.4%. Each consecutive step is +5.2% and +4.9% (both below 6.7% RCV). But the overall change (5.8 to 6.4 = +10.3%) exceeds RCV, and both steps are upward (monotonic). Tier 2 correctly classifies this as "rising."</w:t>
      </w:r>
    </w:p>
    <w:p>
      <w:r>
        <w:rPr>
          <w:b/>
          <w:i/>
        </w:rPr>
        <w:t xml:space="preserve">Clinical rationale (Fraser 2012): </w:t>
      </w:r>
      <w:r>
        <w:t>"When serial results show a consistent trend, even if individual changes are within biological variation, the pattern itself may be clinically significant."</w:t>
      </w:r>
    </w:p>
    <w:p>
      <w:pPr>
        <w:pStyle w:val="Heading2"/>
      </w:pPr>
      <w:r>
        <w:t>5.4 Zone Classification</w:t>
      </w:r>
    </w:p>
    <w:p>
      <w:r>
        <w:t>The latest reading is classified into one of five zones relative to the laboratory reference range: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Zone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Definition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below_range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Value &lt; reference_low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Lab reference range (CLSI EP28-A3c)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borderline_low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Within range but within 10% of ref_low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Zivaa UX convention (not from guideline)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in_range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Solidly within the reference interval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Lab reference range (CLSI EP28-A3c)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borderline_high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Within range but within 10% of ref_high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Zivaa UX convention (not from guideline)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above_range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Value &gt; reference_high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Lab reference range (CLSI EP28-A3c)</w:t>
            </w:r>
          </w:p>
        </w:tc>
      </w:tr>
    </w:tbl>
    <w:p/>
    <w:p>
      <w:r>
        <w:rPr>
          <w:b/>
        </w:rPr>
        <w:t xml:space="preserve">Note: </w:t>
      </w:r>
      <w:r>
        <w:t>The "borderline" sub-zones use a 10% threshold that is a Zivaa-defined UX convention, not from a published clinical guideline. This is explicitly documented in the code. The out-of-range zones (below_range, above_range) use the lab's own reference ranges, which are established per CLSI EP28-A3c.</w:t>
      </w:r>
    </w:p>
    <w:p>
      <w:pPr>
        <w:pStyle w:val="Heading2"/>
      </w:pPr>
      <w:r>
        <w:t>5.5 Clinical Flag Decision Matrix</w:t>
      </w:r>
    </w:p>
    <w:p>
      <w:r>
        <w:t>The clinical flag combines trend direction and zone to produce an actionable interpretation. Two separate matrices are used:</w:t>
      </w:r>
    </w:p>
    <w:p>
      <w:pPr>
        <w:pStyle w:val="Heading3"/>
      </w:pPr>
      <w:r>
        <w:t>Standard Matrix (lower values = healthier)</w:t>
      </w:r>
    </w:p>
    <w:p>
      <w:r>
        <w:t>Applies to: HbA1c, LDL, Creatinine, CRP, FBS, Triglycerides, etc.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Direction \ Zone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below_range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in_range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above_range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improving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worsening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improving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fluctuating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pPr>
        <w:pStyle w:val="Heading3"/>
      </w:pPr>
      <w:r>
        <w:t>Inverse Matrix (higher values = healthier)</w:t>
      </w:r>
    </w:p>
    <w:p>
      <w:r>
        <w:t>Applies to: eGFR, HDL, Hemoglobin, B12, Vitamin D, Ferritin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Direction \ Zone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below_range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in_range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above_range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improving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fluctuating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needs_attention</w:t>
            </w:r>
          </w:p>
        </w:tc>
      </w:tr>
    </w:tbl>
    <w:p/>
    <w:p>
      <w:r>
        <w:rPr>
          <w:b/>
        </w:rPr>
        <w:t xml:space="preserve">Important: </w:t>
      </w:r>
      <w:r>
        <w:t>This decision matrix is a Zivaa-designed clinical heuristic. While each cell is logically defensible, no published clinical decision rule maps trend direction + zone to a single flag in this exact format. The matrix is designed to produce directionally correct interpretations for a caregiver-facing UI. For guideline-specific interpretations, see the Rate-of-Change Alerts in Section 5.7.</w:t>
      </w:r>
    </w:p>
    <w:p>
      <w:pPr>
        <w:pStyle w:val="Heading2"/>
      </w:pPr>
      <w:r>
        <w:t>5.6 Inverse-Polarity Biomarkers</w:t>
      </w:r>
    </w:p>
    <w:p>
      <w:r>
        <w:t>Six biomarkers where higher values indicate better health use the inverse decision matrix: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Why Higher = Better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EGFR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Estimated GFR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healthier kidney filtration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KDIGO 2024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HDL Cholesterol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cardioprotective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ACC/AHA 2018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better O2 transport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WHO 2011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Vitamin B12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better neurological function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Standard clinical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VITAMIN_D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25-OH Vitamin 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better bone/immune health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Standard clinical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FERRITIN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Serum Ferritin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Higher = better iron stores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Standard clinical</w:t>
            </w:r>
          </w:p>
        </w:tc>
      </w:tr>
    </w:tbl>
    <w:p>
      <w:pPr>
        <w:pStyle w:val="Heading2"/>
      </w:pPr>
      <w:r>
        <w:t>5.7 Rate-of-Change Alerts</w:t>
      </w:r>
    </w:p>
    <w:p>
      <w:r>
        <w:t>Unlike the general clinical flag (which is a Zivaa heuristic), rate-of-change alerts are triggered by published clinical guideline thresholds. These are the strongest evidence-based signals in the system.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Biomarker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Alert Label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Guideline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eGFR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Decline &gt; 5 mL/min/year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rapid_progression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KDIGO 2024 CKD Guidelines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HbA1c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Rise &gt; 1.0%/year (~0.5%/6mo)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therapy_review_needed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ADA 2024 Standards of Care</w:t>
            </w:r>
          </w:p>
        </w:tc>
      </w:tr>
    </w:tbl>
    <w:p/>
    <w:p>
      <w:r>
        <w:t>Rate alerts appear as an optional rate_alert object in the API response, containing a label and the full citation string. They are only present when the threshold is exceeded.</w:t>
      </w:r>
    </w:p>
    <w:p>
      <w:r>
        <w:br w:type="page"/>
      </w:r>
    </w:p>
    <w:p>
      <w:pPr>
        <w:pStyle w:val="Heading1"/>
      </w:pPr>
      <w:r>
        <w:t>6. Example Output (Ranjit's Lab Data)</w:t>
      </w:r>
    </w:p>
    <w:p>
      <w:r>
        <w:t>The following table shows the trend analysis results for patient Ranjit (3 lab reports: January, March, and June 2026). This demonstrates how the RCV-based analysis correctly distinguishes real clinical trends from biological noise.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Biomarker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RCV%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Change%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Flag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Rate Alert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HbA1c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6.7%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+10.3%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ADA: therapy review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eGFR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-25.6%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KDIGO: rapid progression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+27.3%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116.8%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+244.4%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8.8%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-15.2%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Ferritin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declining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40.5%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-44.4%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TSH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rising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53.9%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+75.0%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worsening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HDL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20.2%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-9.5%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58.3%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+10.8%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LDL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23.7%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+8.5%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BUN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stable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34.6%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+16.7%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needs_attention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--</w:t>
            </w:r>
          </w:p>
        </w:tc>
      </w:tr>
    </w:tbl>
    <w:p/>
    <w:p>
      <w:r>
        <w:rPr>
          <w:b/>
        </w:rPr>
        <w:t xml:space="preserve">Key observations: </w:t>
      </w:r>
    </w:p>
    <w:p>
      <w:pPr>
        <w:pStyle w:val="ListBullet"/>
      </w:pPr>
      <w:r>
        <w:t>HDL (-9.5% change) is correctly classified as "stable" because its RCV is 20.2%. The 9.5% decline falls within normal biological noise.</w:t>
      </w:r>
    </w:p>
    <w:p>
      <w:pPr>
        <w:pStyle w:val="ListBullet"/>
      </w:pPr>
      <w:r>
        <w:t>Triglycerides (+10.8%) is correctly "stable" (RCV=58.3%). This biomarker has extreme within-subject variation.</w:t>
      </w:r>
    </w:p>
    <w:p>
      <w:pPr>
        <w:pStyle w:val="ListBullet"/>
      </w:pPr>
      <w:r>
        <w:t>HbA1c (+10.3%) is correctly "rising" via Tier 2 cumulative drift detection, even though each individual step (~5%) was below the 6.7% RCV threshold.</w:t>
      </w:r>
    </w:p>
    <w:p>
      <w:pPr>
        <w:pStyle w:val="ListBullet"/>
      </w:pPr>
      <w:r>
        <w:t>eGFR triggers both a "worsening" clinical flag AND a KDIGO "rapid_progression" rate alert (declining ~48 mL/min/year, threshold is 5 mL/min/year).</w:t>
      </w:r>
    </w:p>
    <w:p>
      <w:pPr>
        <w:pStyle w:val="Heading1"/>
      </w:pPr>
      <w:r>
        <w:t>7. Evidence Strength Assessment</w:t>
      </w:r>
    </w:p>
    <w:p>
      <w:r>
        <w:t>Each component of the trend analysis is rated for evidence strength: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Evidence Level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RCV formula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Fraser 1989, 2001, 2012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Gold standard for lab change significance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CVi/CVa values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EFLM database (Aarsand 2018, Ricos 1999)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Published and maintained by EFLM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Two-tier analysis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Fraser 2001, 2012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Tier 2 (cumulative drift) is evidence-supported but not a formal published algorithm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Rate alerts (eGFR)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KDIGO 2024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 threshold from clinical practice guideline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Rate alerts (HbA1c)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ADA 2024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 threshold from standards of care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Zone classification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 (out-of-range), MODERATE (borderline)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CLSI EP28-A3c / Zivaa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Out-of-range uses lab ranges; borderline 10% is Zivaa convention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Clinical flag matrix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Zivaa heuristic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Logically defensible but not a published decision rule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Inverse polarity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KDIGO, ACC/AHA, WHO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Standard clinical knowledge</w:t>
            </w:r>
          </w:p>
        </w:tc>
      </w:tr>
    </w:tbl>
    <w:p>
      <w:r>
        <w:br w:type="page"/>
      </w:r>
    </w:p>
    <w:p>
      <w:pPr>
        <w:pStyle w:val="Heading1"/>
      </w:pPr>
      <w:r>
        <w:t>8. Citations &amp; References</w:t>
      </w:r>
    </w:p>
    <w:p>
      <w:pPr>
        <w:spacing w:after="120"/>
      </w:pPr>
      <w:r>
        <w:rPr>
          <w:b/>
        </w:rPr>
        <w:t xml:space="preserve">[1] </w:t>
      </w:r>
      <w:r>
        <w:t xml:space="preserve">Aarsand AK, Fernandez-Calle P, Webster C, et al. </w:t>
      </w:r>
      <w:r>
        <w:rPr>
          <w:i/>
        </w:rPr>
        <w:t>"The EuBIVAS: Within- and Between-Subject Biological Variation Data for Electrolytes, Lipids, Urea, Uric Acid, Total Protein, Total Bilirubin, Direct Bilirubin, and Glucose."</w:t>
      </w:r>
      <w:r>
        <w:t xml:space="preserve"> Clin Chem. 2018;64(9):1380-1393.</w:t>
      </w:r>
    </w:p>
    <w:p>
      <w:pPr>
        <w:spacing w:after="120"/>
      </w:pPr>
      <w:r>
        <w:rPr>
          <w:b/>
        </w:rPr>
        <w:t xml:space="preserve">[2] </w:t>
      </w:r>
      <w:r>
        <w:t xml:space="preserve">Ricos C, Alvarez V, Cava F, et al. </w:t>
      </w:r>
      <w:r>
        <w:rPr>
          <w:i/>
        </w:rPr>
        <w:t>"Current databases on biological variation: pros, cons and progress."</w:t>
      </w:r>
      <w:r>
        <w:t xml:space="preserve"> Scand J Clin Lab Invest. 1999;59(7):491-500.</w:t>
      </w:r>
    </w:p>
    <w:p>
      <w:pPr>
        <w:spacing w:after="120"/>
      </w:pPr>
      <w:r>
        <w:rPr>
          <w:b/>
        </w:rPr>
        <w:t xml:space="preserve">[3] </w:t>
      </w:r>
      <w:r>
        <w:t xml:space="preserve">Fraser CG. </w:t>
      </w:r>
      <w:r>
        <w:rPr>
          <w:i/>
        </w:rPr>
        <w:t>"Biological Variation: From Principles to Practice."</w:t>
      </w:r>
      <w:r>
        <w:t xml:space="preserve"> AACC Press, 2001. ISBN: 978-1890883492.</w:t>
      </w:r>
    </w:p>
    <w:p>
      <w:pPr>
        <w:spacing w:after="120"/>
      </w:pPr>
      <w:r>
        <w:rPr>
          <w:b/>
        </w:rPr>
        <w:t xml:space="preserve">[4] </w:t>
      </w:r>
      <w:r>
        <w:t xml:space="preserve">Fraser CG. </w:t>
      </w:r>
      <w:r>
        <w:rPr>
          <w:i/>
        </w:rPr>
        <w:t>"Reference change values."</w:t>
      </w:r>
      <w:r>
        <w:t xml:space="preserve"> Clin Chem Lab Med. 2012;50(5):807-812.</w:t>
      </w:r>
    </w:p>
    <w:p>
      <w:pPr>
        <w:spacing w:after="120"/>
      </w:pPr>
      <w:r>
        <w:rPr>
          <w:b/>
        </w:rPr>
        <w:t xml:space="preserve">[5] </w:t>
      </w:r>
      <w:r>
        <w:t xml:space="preserve">Fraser CG, Harris EK. </w:t>
      </w:r>
      <w:r>
        <w:rPr>
          <w:i/>
        </w:rPr>
        <w:t>"Generation and application of data on biological variation in clinical chemistry."</w:t>
      </w:r>
      <w:r>
        <w:t xml:space="preserve"> Crit Rev Clin Lab Sci. 1989;27(5):409-437.</w:t>
      </w:r>
    </w:p>
    <w:p>
      <w:pPr>
        <w:spacing w:after="120"/>
      </w:pPr>
      <w:r>
        <w:rPr>
          <w:b/>
        </w:rPr>
        <w:t xml:space="preserve">[6] </w:t>
      </w:r>
      <w:r>
        <w:t xml:space="preserve">KDIGO. </w:t>
      </w:r>
      <w:r>
        <w:rPr>
          <w:i/>
        </w:rPr>
        <w:t>"Clinical Practice Guideline for Evaluation and Management of Chronic Kidney Disease."</w:t>
      </w:r>
      <w:r>
        <w:t xml:space="preserve"> Kidney Int Suppl. 2024;14(4S):e1-e314.</w:t>
      </w:r>
    </w:p>
    <w:p>
      <w:pPr>
        <w:spacing w:after="120"/>
      </w:pPr>
      <w:r>
        <w:rPr>
          <w:b/>
        </w:rPr>
        <w:t xml:space="preserve">[7] </w:t>
      </w:r>
      <w:r>
        <w:t xml:space="preserve">American Diabetes Association (ADA). </w:t>
      </w:r>
      <w:r>
        <w:rPr>
          <w:i/>
        </w:rPr>
        <w:t>"Standards of Care in Diabetes -- 2024."</w:t>
      </w:r>
      <w:r>
        <w:t xml:space="preserve"> Diabetes Care. 2024;47(Suppl 1):S1-S321.</w:t>
      </w:r>
    </w:p>
    <w:p>
      <w:pPr>
        <w:spacing w:after="120"/>
      </w:pPr>
      <w:r>
        <w:rPr>
          <w:b/>
        </w:rPr>
        <w:t xml:space="preserve">[8] </w:t>
      </w:r>
      <w:r>
        <w:t xml:space="preserve">Grundy SM, Stone NJ, Bailey AL, et al. </w:t>
      </w:r>
      <w:r>
        <w:rPr>
          <w:i/>
        </w:rPr>
        <w:t>"2018 AHA/ACC/AACVPR/AAPA/ABC/ACPM/ADA/AGS/APhA/ASPC/NLA/PCNA Guideline on the Management of Blood Cholesterol."</w:t>
      </w:r>
      <w:r>
        <w:t xml:space="preserve"> J Am Coll Cardiol. 2019;73(24):e285-e350.</w:t>
      </w:r>
    </w:p>
    <w:p>
      <w:pPr>
        <w:spacing w:after="120"/>
      </w:pPr>
      <w:r>
        <w:rPr>
          <w:b/>
        </w:rPr>
        <w:t xml:space="preserve">[9] </w:t>
      </w:r>
      <w:r>
        <w:t xml:space="preserve">World Health Organization. </w:t>
      </w:r>
      <w:r>
        <w:rPr>
          <w:i/>
        </w:rPr>
        <w:t>"Haemoglobin concentrations for the diagnosis of anaemia and assessment of severity."</w:t>
      </w:r>
      <w:r>
        <w:t xml:space="preserve"> Vitamin and Mineral Nutrition Information System. 2011.</w:t>
      </w:r>
    </w:p>
    <w:p>
      <w:pPr>
        <w:spacing w:after="120"/>
      </w:pPr>
      <w:r>
        <w:rPr>
          <w:b/>
        </w:rPr>
        <w:t xml:space="preserve">[10] </w:t>
      </w:r>
      <w:r>
        <w:t xml:space="preserve">CLSI. </w:t>
      </w:r>
      <w:r>
        <w:rPr>
          <w:i/>
        </w:rPr>
        <w:t>"Defining, Establishing, and Verifying Reference Intervals in the Clinical Laboratory."</w:t>
      </w:r>
      <w:r>
        <w:t xml:space="preserve"> EP28-A3c. 3rd ed. 2010.</w:t>
      </w:r>
    </w:p>
    <w:p>
      <w:pPr>
        <w:spacing w:after="120"/>
      </w:pPr>
      <w:r>
        <w:rPr>
          <w:b/>
        </w:rPr>
        <w:t xml:space="preserve">[11] </w:t>
      </w:r>
      <w:r>
        <w:t xml:space="preserve">EFLM Biological Variation Database. </w:t>
      </w:r>
      <w:r>
        <w:rPr>
          <w:i/>
        </w:rPr>
        <w:t>https://biologicalvariation.eu/</w:t>
      </w:r>
      <w:r>
        <w:t xml:space="preserve"> Accessed June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