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Zivaa Clinical Rules Engine</w:t>
      </w:r>
    </w:p>
    <w:p>
      <w:pPr>
        <w:jc w:val="center"/>
      </w:pPr>
      <w:r>
        <w:rPr>
          <w:color w:val="4A4A4A"/>
          <w:sz w:val="32"/>
        </w:rPr>
        <w:t>Technical &amp; Clinical Documentation</w:t>
      </w:r>
    </w:p>
    <w:p/>
    <w:p>
      <w:pPr>
        <w:jc w:val="center"/>
      </w:pPr>
      <w:r>
        <w:t>Version 3.2  •  June 2026</w:t>
        <w:br/>
        <w:t>27 Clinical Rules  •  45+ Medical Citations  •  56 Unit Tests</w:t>
        <w:br/>
        <w:t>RCV-Based Lab Trend Analysis (EFLM Biological Variation Database)</w:t>
      </w:r>
    </w:p>
    <w:p/>
    <w:p/>
    <w:p>
      <w:pPr>
        <w:jc w:val="center"/>
      </w:pPr>
      <w:r>
        <w:rPr>
          <w:i/>
          <w:color w:val="808080"/>
          <w:sz w:val="18"/>
        </w:rPr>
        <w:t>DISCLAIMER: This system is a clinical decision support tool, not a diagnostic device. All insights should be reviewed by qualified healthcare professionals before clinical action.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Architecture Overview</w:t>
      </w:r>
    </w:p>
    <w:p>
      <w:pPr>
        <w:pStyle w:val="ListNumber"/>
      </w:pPr>
      <w:r>
        <w:t xml:space="preserve">   2.1 Baseline System</w:t>
      </w:r>
    </w:p>
    <w:p>
      <w:pPr>
        <w:pStyle w:val="ListNumber"/>
      </w:pPr>
      <w:r>
        <w:t xml:space="preserve">   2.2 Per-Metric Baseline Thresholds</w:t>
      </w:r>
    </w:p>
    <w:p>
      <w:pPr>
        <w:pStyle w:val="ListNumber"/>
      </w:pPr>
      <w:r>
        <w:t xml:space="preserve">   2.3 RCV-Based Lab Trend Integration</w:t>
      </w:r>
    </w:p>
    <w:p>
      <w:pPr>
        <w:pStyle w:val="ListNumber"/>
      </w:pPr>
      <w:r>
        <w:t>3. Evidence Classification</w:t>
      </w:r>
    </w:p>
    <w:p>
      <w:pPr>
        <w:pStyle w:val="ListNumber"/>
      </w:pPr>
      <w:r>
        <w:t>4. Tier 1 — Vital Signs Rules (4 rules)</w:t>
      </w:r>
    </w:p>
    <w:p>
      <w:pPr>
        <w:pStyle w:val="ListNumber"/>
      </w:pPr>
      <w:r>
        <w:t>5. Tier 2 — Sensor &amp; Device Rules (6 rules)</w:t>
      </w:r>
    </w:p>
    <w:p>
      <w:pPr>
        <w:pStyle w:val="ListNumber"/>
      </w:pPr>
      <w:r>
        <w:t>6. Tier 2 — Mental Health Rules (4 rules)</w:t>
      </w:r>
    </w:p>
    <w:p>
      <w:pPr>
        <w:pStyle w:val="ListNumber"/>
      </w:pPr>
      <w:r>
        <w:t>7. Tier 3 — Laboratory Rules (5 rules, RCV-enhanced)</w:t>
      </w:r>
    </w:p>
    <w:p>
      <w:pPr>
        <w:pStyle w:val="ListNumber"/>
      </w:pPr>
      <w:r>
        <w:t>8. Data Requirements &amp; Confidence Analysis</w:t>
      </w:r>
    </w:p>
    <w:p>
      <w:pPr>
        <w:pStyle w:val="ListNumber"/>
      </w:pPr>
      <w:r>
        <w:t>9. Complete Citation Index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Zivaa Insights Engine is a rule-based clinical decision support system designed for elderly care monitoring. It evaluates patient data from wearable devices, self-reported metrics, and laboratory results to generate actionable health insights.</w:t>
      </w:r>
    </w:p>
    <w:p>
      <w:r>
        <w:t>The engine operates across 4 tiers of rules, each targeting different data sources and clinical domains. All rules have been aligned with published clinical guidelines and carry full medical citations in the codebase.</w:t>
      </w:r>
    </w:p>
    <w:p>
      <w:r>
        <w:t>As of v3.0, all 5 Tier 3 (Laboratory) rules are enhanced with RCV-based trend analysis from the EFLM Biological Variation Database. This ensures that lab trend signals used in clinical rules are filtered through per-biomarker noise thresholds, eliminating false alarms from normal biological variation.</w:t>
      </w:r>
    </w:p>
    <w:p>
      <w:pPr/>
      <w:r>
        <w:rPr>
          <w:rFonts w:ascii="Calibri" w:hAnsi="Calibri"/>
          <w:sz w:val="20"/>
        </w:rPr>
        <w:t>As of v3.1 (June 2026), three new metric capabilities have been added from the "Build Now" initiative: (1) a new TachypneaRule for respiratory rate monitoring using NHS NEWS2 scoring, (2) exercise_minutes compensation in the FunctionalDeclineRule to reduce false positives when patients are active through non-step activities, and (3) resting_heart_rate preference in the AcuteIllnessRule, which better matches the Mishra 2020 methodology. Three new metrics (respiratory_rate, resting_heart_rate, exercise_minutes) have been wired through the data pipeline and baseline system.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Rules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Evidence: Strong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rules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Evidence: Strong with Fallback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rules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Evidence: Weak/Moderate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 rules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Medical Citations</w:t>
            </w:r>
          </w:p>
        </w:tc>
        <w:tc>
          <w:tcPr>
            <w:tcW w:type="dxa" w:w="4320"/>
          </w:tcPr>
          <w:p>
            <w:r>
              <w:t>55+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Unit Tests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56 (100% passing)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Validated Instruments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PHQ-2, PSQI Item 6, AASM Sleep Efficiency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 Trend Method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EFLM RCV (Reference Change Value)</w:t>
            </w:r>
          </w:p>
        </w:tc>
      </w:tr>
    </w:tbl>
    <w:p>
      <w:r>
        <w:br w:type="page"/>
      </w:r>
    </w:p>
    <w:p>
      <w:pPr>
        <w:pStyle w:val="Heading1"/>
      </w:pPr>
      <w:r>
        <w:t>2. Architecture Overview</w:t>
      </w:r>
    </w:p>
    <w:p>
      <w:r>
        <w:t>The engine follows a 4-stage pipeline: Data Fetching → Baseline Computation → Rule Evaluation → Output Generation.</w:t>
      </w:r>
    </w:p>
    <w:p>
      <w:pPr>
        <w:pStyle w:val="Heading2"/>
      </w:pPr>
      <w:r>
        <w:t>2.1 Baseline System</w:t>
      </w:r>
    </w:p>
    <w:p>
      <w:r>
        <w:t>Each patient has per-metric baselines computed from their own historical data. Baselines are in one of two states: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State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CALIBRATING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Insufficient data points collected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Baseline-dependent rules are skipped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ESTABLISHED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data points met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Rules use personal mean and std for z-scores</w:t>
            </w:r>
          </w:p>
        </w:tc>
      </w:tr>
    </w:tbl>
    <w:p/>
    <w:p>
      <w:pPr>
        <w:pStyle w:val="Heading2"/>
      </w:pPr>
      <w:r>
        <w:t>2.2 Per-Metric Baseline Thresholds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Min Days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Window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Heart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Core vital — relatively stable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Blood Pressure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Core vital — relatively stable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Higher variability (weekday vs weekend)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Sleep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Higher variability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SpO2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Physiologically stable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Body Temp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Physiologically stable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Blood Glucose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Metabolic — needs enough variance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Changes slowly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Mood 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Self-reported — need full week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PHQ-2 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Biweekly instrument — longer window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PSQI Item 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Weekly instrument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Sleep Efficiency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Wearable-derived, daily</w:t>
            </w:r>
          </w:p>
        </w:tc>
      </w:tr>
      <w:tr>
        <w:tc>
          <w:tcPr>
            <w:tcW w:type="dxa" w:w="2160"/>
          </w:tcPr>
          <w:p>
            <w:r>
              <w:t>Respiratory Rate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  <w:tc>
          <w:tcPr>
            <w:tcW w:type="dxa" w:w="2160"/>
          </w:tcPr>
          <w:p>
            <w:r>
              <w:t>Physiologically stable (like SpO2). Wearable-derived during sleep.</w:t>
            </w:r>
          </w:p>
        </w:tc>
      </w:tr>
      <w:tr>
        <w:tc>
          <w:tcPr>
            <w:tcW w:type="dxa" w:w="2160"/>
          </w:tcPr>
          <w:p>
            <w:r>
              <w:t>Resting Heart Rate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  <w:tc>
          <w:tcPr>
            <w:tcW w:type="dxa" w:w="2160"/>
          </w:tcPr>
          <w:p>
            <w:r>
              <w:t>More stable than avg HR. Preferred signal for illness detection.</w:t>
            </w:r>
          </w:p>
        </w:tc>
      </w:tr>
      <w:tr>
        <w:tc>
          <w:tcPr>
            <w:tcW w:type="dxa" w:w="2160"/>
          </w:tcPr>
          <w:p>
            <w:r>
              <w:t>Exercise Minutes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  <w:tc>
          <w:tcPr>
            <w:tcW w:type="dxa" w:w="2160"/>
          </w:tcPr>
          <w:p>
            <w:r>
              <w:t>High variability (like steps). Weekend vs weekday patterns.</w:t>
            </w:r>
          </w:p>
        </w:tc>
      </w:tr>
    </w:tbl>
    <w:p/>
    <w:p>
      <w:pPr>
        <w:pStyle w:val="Heading2"/>
      </w:pPr>
      <w:r>
        <w:t>2.3 RCV-Based Lab Trend Integration</w:t>
      </w:r>
    </w:p>
    <w:p>
      <w:r>
        <w:t>As of v3.0, the Insights Engine integrates per-biomarker trend analysis from the lab_history service. When the data_fetcher builds the EvalContext for a patient, it calls get_patient_lab_trends() and passes the computed trend summary into LabContext. Each LabMetric then exposes RCV-filtered trend properties that Tier 3 rules can use.</w:t>
      </w:r>
    </w:p>
    <w:p>
      <w:r>
        <w:t>This integration solves a critical problem: different biomarkers have vastly different biological variation. TSH can fluctuate by 40% in a healthy person, while HbA1c typically varies by less than 2%. Using a single threshold (like "2% of range") would produce false trends for TSH and miss real trends for HbA1c.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trend_direction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rising | declining | stable | fluctuating | insufficient_data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clinical_flag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improving | worsening | stable | needs_attention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is_worsening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Convenience: clinical_flag == "worsening"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is_improving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Convenience: clinical_flag == "improving"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rate_alert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Published guideline rate alert (KDIGO, ADA) if threshold exceeded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has_rate_alert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Convenience: rate_alert is not 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change_percent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% change from first to latest reading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rate_per_month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Absolute change per month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rcv_threshold_pct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RCV % applied (for auditability)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below_range | borderline_low | in_range | borderline_high | above_range</w:t>
            </w:r>
          </w:p>
        </w:tc>
      </w:tr>
    </w:tbl>
    <w:p/>
    <w:p>
      <w:r>
        <w:rPr>
          <w:b/>
        </w:rPr>
        <w:t xml:space="preserve">RCV Formula: </w:t>
      </w:r>
      <w:r>
        <w:t>RCV = √2 × 1.96 × √(CVa² + CVi²)  —  where CVi = within-subject biological variation, CVa = analytical imprecision. Source: Fraser CG (2001), EFLM Biological Variation Database (Aarsand 2018, Ricos 1999).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Biomarker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CVi%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CVa%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RCV%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Clinical Meaning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HbA1c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6.7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Small changes are significant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Creatinine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Moderate variation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eGFR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Derived from Creatinine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TSH</w:t>
            </w:r>
          </w:p>
        </w:tc>
        <w:tc>
          <w:tcPr>
            <w:tcW w:type="dxa" w:w="1728"/>
          </w:tcPr>
          <w:p>
            <w:r>
              <w:t>28.3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54.1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Extreme variation -- hard to trend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42.0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116.8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Most variable -- only huge changes matter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LDL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23.7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Moderate variation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HDL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Moderate variation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Hemoglobin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 variation -- trends reliable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Triglycerides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58.3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 variation</w:t>
            </w:r>
          </w:p>
        </w:tc>
      </w:tr>
    </w:tbl>
    <w:p/>
    <w:p>
      <w:r>
        <w:rPr>
          <w:b/>
        </w:rPr>
        <w:t xml:space="preserve">Graceful degradation: </w:t>
      </w:r>
      <w:r>
        <w:t>All trend properties return safe defaults when trend data is unavailable. Rules fall back to their original raw-comparison logic. No rule breaks if get_patient_lab_trends() fails.</w:t>
      </w:r>
    </w:p>
    <w:p>
      <w:r>
        <w:br w:type="page"/>
      </w:r>
    </w:p>
    <w:p>
      <w:pPr>
        <w:pStyle w:val="Heading1"/>
      </w:pPr>
      <w:r>
        <w:t>3. Evidence Classification</w:t>
      </w:r>
    </w:p>
    <w:p>
      <w:r>
        <w:t>Each rule is classified by the strength of evidence supporting its thresholds: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Strong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Thresholds from published clinical guidelines (ACC/AHA, WHO, BTS, ADA, etc.) with specific table/section references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Strong with 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Uses validated instruments (PHQ-2, PSQI) when available; degrades to unvalidated proxy with explicit labeling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Approximated from guidelines but uses Zivaa-specific adaptations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(all upgraded)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Zivaa-defined heuristics without published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(all upgraded)</w:t>
            </w:r>
          </w:p>
        </w:tc>
      </w:tr>
    </w:tbl>
    <w:p>
      <w:r>
        <w:br w:type="page"/>
      </w:r>
    </w:p>
    <w:p>
      <w:pPr>
        <w:pStyle w:val="Heading1"/>
      </w:pPr>
      <w:r>
        <w:t>4. Tier 1 — Vital Signs Rules</w:t>
      </w:r>
    </w:p>
    <w:p>
      <w:r>
        <w:t>These rules monitor core vital signs from wearable devices and manual input. They form the first line of detection for acute conditions.</w:t>
      </w:r>
    </w:p>
    <w:p>
      <w:pPr>
        <w:pStyle w:val="Heading3"/>
      </w:pPr>
      <w:r>
        <w:t>4.1 Hypertension Escalation</w:t>
      </w:r>
    </w:p>
    <w:p>
      <w:pPr>
        <w:spacing w:after="120"/>
      </w:pPr>
      <w:r>
        <w:rPr>
          <w:b/>
        </w:rPr>
        <w:t xml:space="preserve">Rule ID: </w:t>
      </w:r>
      <w:r>
        <w:t xml:space="preserve">hypertension_escalation  |  </w:t>
      </w:r>
      <w:r>
        <w:rPr>
          <w:b/>
        </w:rPr>
        <w:t xml:space="preserve">Tier: </w:t>
      </w:r>
      <w:r>
        <w:t xml:space="preserve">Tier 1  |  </w:t>
      </w:r>
      <w:r>
        <w:rPr>
          <w:b/>
        </w:rPr>
        <w:t xml:space="preserve">Category: </w:t>
      </w:r>
      <w:r>
        <w:t xml:space="preserve">Cardiovascular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Detects hypertension using ACC/AHA 2017 3-tier staging. Replaces the previous single-threshold "crisis" detection with a graduated risk classification.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Stage 1 (LOW): SBP 130-139 OR DBP 80-89 mmHg</w:t>
      </w:r>
    </w:p>
    <w:p>
      <w:pPr>
        <w:pStyle w:val="ListBullet2"/>
      </w:pPr>
      <w:r>
        <w:t>Stage 2 (MEDIUM): SBP 140-179 OR DBP 90-119 mmHg</w:t>
      </w:r>
    </w:p>
    <w:p>
      <w:pPr>
        <w:pStyle w:val="ListBullet2"/>
      </w:pPr>
      <w:r>
        <w:t>Hypertensive Urgency (HIGH): SBP ≥180 OR DBP ≥120 mmHg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Whelton PK, et al. "2017 ACC/AHA/AAPA/ABC/ACPM/AGS/APhA/ASH/ASPC/NMA/PCNA Guideline for the Prevention, Detection, Evaluation, and Management of High Blood Pressure in Adults." Hypertension. 2018;71(6):e13-e115. DOI: 10.1161/HYP.0000000000000065</w:t>
      </w:r>
    </w:p>
    <w:p>
      <w:pPr>
        <w:pStyle w:val="ListBullet2"/>
      </w:pPr>
      <w:r>
        <w:t>Table 6 (BP Classification): Normal &lt;120/&lt;80, Elevated 120-129/&lt;80, Stage 1 130-139/80-89, Stage 2 ≥140/≥90</w:t>
      </w:r>
    </w:p>
    <w:p>
      <w:r>
        <w:rPr>
          <w:b/>
        </w:rPr>
        <w:t xml:space="preserve">Confidence Level: </w:t>
      </w:r>
      <w:r>
        <w:t>~95% for correctly classifying BP tier (thresholds are exact guideline values)</w:t>
      </w:r>
    </w:p>
    <w:p>
      <w:r>
        <w:rPr>
          <w:b/>
        </w:rPr>
        <w:t xml:space="preserve">Data Requirements: </w:t>
      </w:r>
      <w:r>
        <w:t>Minimum 5 days BP readings for baseline. Single latest reading used for staging.</w:t>
      </w:r>
    </w:p>
    <w:p/>
    <w:p>
      <w:pPr>
        <w:pStyle w:val="Heading3"/>
      </w:pPr>
      <w:r>
        <w:t>4.2 Functional Decline / Fall Risk</w:t>
      </w:r>
    </w:p>
    <w:p>
      <w:pPr>
        <w:spacing w:after="120"/>
      </w:pPr>
      <w:r>
        <w:rPr>
          <w:b/>
        </w:rPr>
        <w:t xml:space="preserve">Rule ID: </w:t>
      </w:r>
      <w:r>
        <w:t xml:space="preserve">functional_decline  |  </w:t>
      </w:r>
      <w:r>
        <w:rPr>
          <w:b/>
        </w:rPr>
        <w:t xml:space="preserve">Tier: </w:t>
      </w:r>
      <w:r>
        <w:t xml:space="preserve">Tier 1  |  </w:t>
      </w:r>
      <w:r>
        <w:rPr>
          <w:b/>
        </w:rPr>
        <w:t xml:space="preserve">Category: </w:t>
      </w:r>
      <w:r>
        <w:t xml:space="preserve">Mobility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rPr>
          <w:rFonts w:ascii="Calibri" w:hAnsi="Calibri"/>
          <w:sz w:val="20"/>
        </w:rPr>
        <w:t>Detects reduced mobility and fall risk through step count analysis. Uses two independent detection mechanisms: an absolute step floor and a z-score deviation from personal baseline. v3.1: Now cross-references exercise_minutes from Health Connect to reduce false positives when patients are active through non-step activities (yoga, swimming, physio). If steps are below threshold but exercise ≥15 min, severity is downgraded by one level.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Absolute floor: &lt;1,000 steps/day = immobility (Tudor-Locke 2011)</w:t>
      </w:r>
    </w:p>
    <w:p>
      <w:pPr>
        <w:pStyle w:val="ListBullet2"/>
      </w:pPr>
      <w:r>
        <w:t>Z-score &gt; 2.0 below personal baseline (Fried Frailty phenotype)</w:t>
      </w:r>
    </w:p>
    <w:p>
      <w:pPr>
        <w:pStyle w:val="ListBullet2"/>
      </w:pPr>
      <w:r>
        <w:rPr>
          <w:rFonts w:ascii="Calibri" w:hAnsi="Calibri"/>
          <w:sz w:val="20"/>
        </w:rPr>
        <w:t>Exercise compensation: ≥15 min exercise downgrades severity by 1 level (Zivaa-defined, not from a guideline)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Tudor-Locke C, et al. "How many steps/day are enough? For older adults and special populations." Int J Behav Nutr Phys Act. 2011;8:80. DOI: 10.1186/1479-5868-8-80</w:t>
      </w:r>
    </w:p>
    <w:p>
      <w:pPr>
        <w:pStyle w:val="ListBullet2"/>
      </w:pPr>
      <w:r>
        <w:t>Fried LP, et al. "Frailty in Older Adults: Evidence for a Phenotype." J Gerontol A. 2001;56(3):M146-M156. DOI: 10.1093/gerona/56.3.M146</w:t>
      </w:r>
    </w:p>
    <w:p>
      <w:r>
        <w:rPr>
          <w:b/>
        </w:rPr>
        <w:t xml:space="preserve">Confidence Level: </w:t>
      </w:r>
      <w:r>
        <w:t>~90% for absolute floor breach (&lt;1000 steps). ~80% for z-score-based decline (depends on baseline quality).</w:t>
      </w:r>
    </w:p>
    <w:p>
      <w:r>
        <w:rPr>
          <w:b/>
        </w:rPr>
        <w:t xml:space="preserve">Data Requirements: </w:t>
      </w:r>
      <w:r>
        <w:t>Minimum 7 days step data for baseline. 30-day window for standard deviation.</w:t>
      </w:r>
    </w:p>
    <w:p/>
    <w:p>
      <w:pPr>
        <w:pStyle w:val="Heading3"/>
      </w:pPr>
      <w:r>
        <w:t>4.3 Acute Illness Onset</w:t>
      </w:r>
    </w:p>
    <w:p>
      <w:pPr>
        <w:spacing w:after="120"/>
      </w:pPr>
      <w:r>
        <w:rPr>
          <w:b/>
        </w:rPr>
        <w:t xml:space="preserve">Rule ID: </w:t>
      </w:r>
      <w:r>
        <w:t xml:space="preserve">acute_illness  |  </w:t>
      </w:r>
      <w:r>
        <w:rPr>
          <w:b/>
        </w:rPr>
        <w:t xml:space="preserve">Tier: </w:t>
      </w:r>
      <w:r>
        <w:t xml:space="preserve">Tier 1  |  </w:t>
      </w:r>
      <w:r>
        <w:rPr>
          <w:b/>
        </w:rPr>
        <w:t xml:space="preserve">Category: </w:t>
      </w:r>
      <w:r>
        <w:t xml:space="preserve">General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rPr>
          <w:rFonts w:ascii="Calibri" w:hAnsi="Calibri"/>
          <w:sz w:val="20"/>
        </w:rPr>
        <w:t>Detects pre-symptomatic illness via resting heart rate elevation combined with simultaneous activity decline. Based on the z-score approach validated by Mishra et al. (2020) for pre-symptomatic COVID-19 detection. v3.1: Now prefers resting_heart_rate from Health Connect over average heart_rate, since Mishra 2020 specifically studied resting HR. Falls back to average HR if resting HR is unavailable. Evidence dict includes "hr_source" for auditability.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HR z-score &gt; 2.0 (RHR more than 2 SD above personal baseline)</w:t>
      </w:r>
    </w:p>
    <w:p>
      <w:pPr>
        <w:pStyle w:val="ListBullet2"/>
      </w:pPr>
      <w:r>
        <w:rPr>
          <w:rFonts w:ascii="Calibri" w:hAnsi="Calibri"/>
          <w:sz w:val="20"/>
        </w:rPr>
        <w:t>v3.1: Prefers resting_heart_rate over average HR. Evidence includes hr_source: "resting" or "average"</w:t>
      </w:r>
    </w:p>
    <w:p>
      <w:pPr>
        <w:pStyle w:val="ListBullet2"/>
      </w:pPr>
      <w:r>
        <w:t>Steps z-score &gt; 1.5 (activity more than 1.5 SD below baseline) = supporting signal</w:t>
      </w:r>
    </w:p>
    <w:p>
      <w:pPr>
        <w:pStyle w:val="ListBullet2"/>
      </w:pPr>
      <w:r>
        <w:t>Both signals → HIGH severity (Mishra 2020 dual-signal pattern)</w:t>
      </w:r>
    </w:p>
    <w:p>
      <w:pPr>
        <w:pStyle w:val="ListBullet2"/>
      </w:pPr>
      <w:r>
        <w:t>HR alone → MEDIUM severity (Radin 2020 surveillance signal)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Mishra T, et al. "Pre-symptomatic detection of COVID-19 from smartwatch data." Nat Biomed Eng. 2020;4:1208-1220. DOI: 10.1038/s41551-020-00640-6</w:t>
      </w:r>
    </w:p>
    <w:p>
      <w:pPr>
        <w:pStyle w:val="ListBullet2"/>
      </w:pPr>
      <w:r>
        <w:t>Radin JM, et al. "Harnessing wearable device data to improve state-level real-time surveillance of influenza-like illness." Lancet Digit Health. 2020;2(2):e85-e93. DOI: 10.1016/S2589-7500(19)30222-5</w:t>
      </w:r>
    </w:p>
    <w:p>
      <w:pPr>
        <w:pStyle w:val="ListBullet2"/>
      </w:pPr>
      <w:r>
        <w:t>Li X, et al. "Digital Health: Tracking Physiomes and Activity Using Wearable Biosensors." PLoS Biol. 2017;15(1):e2001402. DOI: 10.1371/journal.pbio.2001402</w:t>
      </w:r>
    </w:p>
    <w:p>
      <w:r>
        <w:rPr>
          <w:b/>
        </w:rPr>
        <w:t xml:space="preserve">Confidence Level: </w:t>
      </w:r>
      <w:r>
        <w:t>Statistical: ~97.7% that HR is genuinely above normal (z&gt;2). Clinical: ~75-80% that elevation represents illness (Mishra AUC 0.80). With dual-signal confirmation: ~85%.</w:t>
      </w:r>
    </w:p>
    <w:p>
      <w:r>
        <w:rPr>
          <w:b/>
        </w:rPr>
        <w:t xml:space="preserve">Data Requirements: </w:t>
      </w:r>
      <w:r>
        <w:t>Minimum 5 days HR data + 7 days steps data. Recommended: 14+ days (matches Mishra's methodology). Optimal: 30 days.</w:t>
      </w:r>
    </w:p>
    <w:p>
      <w:r>
        <w:rPr>
          <w:b/>
        </w:rPr>
        <w:t xml:space="preserve">Limitations: </w:t>
      </w:r>
      <w:r>
        <w:t>Uses single-day latest reading, not sustained elevation. Mishra's original method used continuous multi-hour monitoring. Consider requiring 2+ consecutive elevated days for production.</w:t>
      </w:r>
    </w:p>
    <w:p/>
    <w:p>
      <w:pPr>
        <w:pStyle w:val="Heading3"/>
      </w:pPr>
      <w:r>
        <w:t>4.4 Medication Non-Adherence</w:t>
      </w:r>
    </w:p>
    <w:p>
      <w:pPr>
        <w:spacing w:after="120"/>
      </w:pPr>
      <w:r>
        <w:rPr>
          <w:b/>
        </w:rPr>
        <w:t xml:space="preserve">Rule ID: </w:t>
      </w:r>
      <w:r>
        <w:t xml:space="preserve">medication_nonadherence  |  </w:t>
      </w:r>
      <w:r>
        <w:rPr>
          <w:b/>
        </w:rPr>
        <w:t xml:space="preserve">Tier: </w:t>
      </w:r>
      <w:r>
        <w:t xml:space="preserve">Tier 1  |  </w:t>
      </w:r>
      <w:r>
        <w:rPr>
          <w:b/>
        </w:rPr>
        <w:t xml:space="preserve">Category: </w:t>
      </w:r>
      <w:r>
        <w:t xml:space="preserve">Medications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Flags possible medication non-adherence when BP exceeds treatment target alongside known missed doses. Uses the therapeutic inertia framework from Burnier &amp; Egan (2019).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BP above ACC/AHA target: SBP &gt;140 OR DBP &gt;90 mmHg</w:t>
      </w:r>
    </w:p>
    <w:p>
      <w:pPr>
        <w:pStyle w:val="ListBullet2"/>
      </w:pPr>
      <w:r>
        <w:t>Adherence rate &lt;80% over past 7 days</w:t>
      </w:r>
    </w:p>
    <w:p>
      <w:pPr>
        <w:pStyle w:val="ListBullet2"/>
      </w:pPr>
      <w:r>
        <w:t>At least 2 missed doses in past 7 days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Burnier M, Egan BM. "Adherence in Hypertension: A Review of Prevalence, Risk Factors, Impact, and Management." Circ Res. 2019;124(7):1124-1140. DOI: 10.1161/CIRCRESAHA.118.313220</w:t>
      </w:r>
    </w:p>
    <w:p>
      <w:pPr>
        <w:pStyle w:val="ListBullet2"/>
      </w:pPr>
      <w:r>
        <w:t>ACC/AHA 2017 Guideline, Table 24 (Treatment targets)</w:t>
      </w:r>
    </w:p>
    <w:p>
      <w:r>
        <w:rPr>
          <w:b/>
        </w:rPr>
        <w:t xml:space="preserve">Confidence Level: </w:t>
      </w:r>
      <w:r>
        <w:t>~85% when both signals present (BP above target + documented missed doses). Adherence calculation depends on medication logging completeness.</w:t>
      </w:r>
    </w:p>
    <w:p>
      <w:r>
        <w:rPr>
          <w:b/>
        </w:rPr>
        <w:t xml:space="preserve">Data Requirements: </w:t>
      </w:r>
      <w:r>
        <w:t>7 days medication logs + BP readings. Requires medication_logs table populated.</w:t>
      </w:r>
    </w:p>
    <w:p/>
    <w:p>
      <w:r>
        <w:br w:type="page"/>
      </w:r>
    </w:p>
    <w:p>
      <w:pPr>
        <w:pStyle w:val="Heading1"/>
      </w:pPr>
      <w:r>
        <w:t>5. Tier 2 — Sensor &amp; Device Rules</w:t>
      </w:r>
    </w:p>
    <w:p>
      <w:pPr>
        <w:pStyle w:val="Heading3"/>
      </w:pPr>
      <w:r>
        <w:t>5.1 Glycemic Risk (Hypoglycemia)</w:t>
      </w:r>
    </w:p>
    <w:p>
      <w:pPr>
        <w:spacing w:after="120"/>
      </w:pPr>
      <w:r>
        <w:rPr>
          <w:b/>
        </w:rPr>
        <w:t xml:space="preserve">Rule ID: </w:t>
      </w:r>
      <w:r>
        <w:t xml:space="preserve">glycemic_risk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Metabolic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Detects hypoglycemic events using ADA 2024 two-tier classification. Level 2 hypoglycemia (&lt;54 mg/dL) is clinically significant and requires immediate intervention.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Level 1 Hypoglycemia: BG &lt;70 mg/dL (MEDIUM)</w:t>
      </w:r>
    </w:p>
    <w:p>
      <w:pPr>
        <w:pStyle w:val="ListBullet2"/>
      </w:pPr>
      <w:r>
        <w:t>Level 2 Hypoglycemia: BG &lt;54 mg/dL (HIGH)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American Diabetes Association. "Standards of Care in Diabetes — 2024." Diabetes Care. 2024;47(Suppl 1). §6: Glycemic Goals.</w:t>
      </w:r>
    </w:p>
    <w:p>
      <w:pPr>
        <w:pStyle w:val="ListBullet2"/>
      </w:pPr>
      <w:r>
        <w:t>Table 6.4: Levels of Hypoglycemia. Level 1: &lt;70 mg/dL. Level 2: &lt;54 mg/dL. Level 3: altered mental/physical status.</w:t>
      </w:r>
    </w:p>
    <w:p>
      <w:r>
        <w:rPr>
          <w:b/>
        </w:rPr>
        <w:t xml:space="preserve">Confidence Level: </w:t>
      </w:r>
      <w:r>
        <w:t>~95% (exact guideline thresholds, direct glucose reading)</w:t>
      </w:r>
    </w:p>
    <w:p>
      <w:r>
        <w:rPr>
          <w:b/>
        </w:rPr>
        <w:t xml:space="preserve">Data Requirements: </w:t>
      </w:r>
      <w:r>
        <w:t>Single blood glucose reading. Baseline: 5 days for trend analysis.</w:t>
      </w:r>
    </w:p>
    <w:p/>
    <w:p>
      <w:pPr>
        <w:pStyle w:val="Heading3"/>
      </w:pPr>
      <w:r>
        <w:t>5.2 Respiratory Distress</w:t>
      </w:r>
    </w:p>
    <w:p>
      <w:pPr>
        <w:spacing w:after="120"/>
      </w:pPr>
      <w:r>
        <w:rPr>
          <w:b/>
        </w:rPr>
        <w:t xml:space="preserve">Rule ID: </w:t>
      </w:r>
      <w:r>
        <w:t xml:space="preserve">respiratory_distress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Respiratory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4-tier SpO2 staging per BTS 2017 guidelines. Includes COPD adjustment (target 88-92%) for patients with known COPD.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Normal target: 94-98% (non-COPD patients)</w:t>
      </w:r>
    </w:p>
    <w:p>
      <w:pPr>
        <w:pStyle w:val="ListBullet2"/>
      </w:pPr>
      <w:r>
        <w:t>COPD target: 88-92% (per BTS 2017 Table 1)</w:t>
      </w:r>
    </w:p>
    <w:p>
      <w:pPr>
        <w:pStyle w:val="ListBullet2"/>
      </w:pPr>
      <w:r>
        <w:t>SpO2 &lt;94% (MEDIUM): Below normal target</w:t>
      </w:r>
    </w:p>
    <w:p>
      <w:pPr>
        <w:pStyle w:val="ListBullet2"/>
      </w:pPr>
      <w:r>
        <w:t>SpO2 &lt;92% (HIGH): Moderate hypoxemia</w:t>
      </w:r>
    </w:p>
    <w:p>
      <w:pPr>
        <w:pStyle w:val="ListBullet2"/>
      </w:pPr>
      <w:r>
        <w:t>SpO2 &lt;88% (HIGH): Severe — emergency oxygen per BTS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O'Driscoll BR, et al. "BTS Guideline for Oxygen Use in Adults in Healthcare and Emergency Settings." Thorax. 2017;72(Suppl 1):ii1-ii90. DOI: 10.1136/thoraxjnl-2016-209729</w:t>
      </w:r>
    </w:p>
    <w:p>
      <w:pPr>
        <w:pStyle w:val="ListBullet2"/>
      </w:pPr>
      <w:r>
        <w:t>Table 1: Target SpO2 ranges. Section 8.12: COPD-specific adjustments.</w:t>
      </w:r>
    </w:p>
    <w:p>
      <w:r>
        <w:rPr>
          <w:b/>
        </w:rPr>
        <w:t xml:space="preserve">Confidence Level: </w:t>
      </w:r>
      <w:r>
        <w:t>~95% for non-COPD. ~90% for COPD-adjusted thresholds (requires accurate conditions data).</w:t>
      </w:r>
    </w:p>
    <w:p>
      <w:r>
        <w:rPr>
          <w:b/>
        </w:rPr>
        <w:t xml:space="preserve">Data Requirements: </w:t>
      </w:r>
      <w:r>
        <w:t>Single SpO2 reading. COPD adjustment requires patient_conditions field.</w:t>
      </w:r>
    </w:p>
    <w:p/>
    <w:p>
      <w:pPr>
        <w:pStyle w:val="Heading3"/>
      </w:pPr>
      <w:r>
        <w:t>5.3 Fever / Infection Detection</w:t>
      </w:r>
    </w:p>
    <w:p>
      <w:pPr>
        <w:spacing w:after="120"/>
      </w:pPr>
      <w:r>
        <w:rPr>
          <w:b/>
        </w:rPr>
        <w:t xml:space="preserve">Rule ID: </w:t>
      </w:r>
      <w:r>
        <w:t xml:space="preserve">fever_infection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Infection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Detects fever with infection risk using Liebermeister's Rule to calculate expected heart rate response. If HR exceeds the expected fever response, additional stress (dehydration, sepsis) is suspected.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Temperature ≥37.8°C triggers fever detection</w:t>
      </w:r>
    </w:p>
    <w:p>
      <w:pPr>
        <w:pStyle w:val="ListBullet2"/>
      </w:pPr>
      <w:r>
        <w:t>Liebermeister's Rule: expected HR increase = 8.5 bpm × (temp - 37.0)°C</w:t>
      </w:r>
    </w:p>
    <w:p>
      <w:pPr>
        <w:pStyle w:val="ListBullet2"/>
      </w:pPr>
      <w:r>
        <w:t>HR above expected increase → additional stress beyond fever</w:t>
      </w:r>
    </w:p>
    <w:p>
      <w:pPr>
        <w:pStyle w:val="ListBullet2"/>
      </w:pPr>
      <w:r>
        <w:t>HR at or below expected → normal physiological response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Liebermeister C. "Handbuch der Pathologie und Therapie des Fiebers." Leipzig: FCW Vogel, 1875.</w:t>
      </w:r>
    </w:p>
    <w:p>
      <w:pPr>
        <w:pStyle w:val="ListBullet2"/>
      </w:pPr>
      <w:r>
        <w:t>Mackowiak PA, et al. "A Critical Appraisal of 98.6°F." JAMA. 1992;268(12):1578-1580. DOI: 10.1001/jama.1992.03490120092034</w:t>
      </w:r>
    </w:p>
    <w:p>
      <w:pPr>
        <w:pStyle w:val="ListBullet2"/>
      </w:pPr>
      <w:r>
        <w:t>NICE NG51: "Sepsis: recognition, diagnosis and early management." https://www.nice.org.uk/guidance/ng51</w:t>
      </w:r>
    </w:p>
    <w:p>
      <w:r>
        <w:rPr>
          <w:b/>
        </w:rPr>
        <w:t xml:space="preserve">Confidence Level: </w:t>
      </w:r>
      <w:r>
        <w:t>~90% for fever detection. Liebermeister formula is a 150-year physiological principle validated across multiple studies.</w:t>
      </w:r>
    </w:p>
    <w:p>
      <w:r>
        <w:rPr>
          <w:b/>
        </w:rPr>
        <w:t xml:space="preserve">Data Requirements: </w:t>
      </w:r>
      <w:r>
        <w:t>Single temperature reading + heart rate reading.</w:t>
      </w:r>
    </w:p>
    <w:p/>
    <w:p>
      <w:pPr>
        <w:pStyle w:val="Heading3"/>
      </w:pPr>
      <w:r>
        <w:t>5.4 Nutritional Risk (Weight Loss)</w:t>
      </w:r>
    </w:p>
    <w:p>
      <w:pPr>
        <w:spacing w:after="120"/>
      </w:pPr>
      <w:r>
        <w:rPr>
          <w:b/>
        </w:rPr>
        <w:t xml:space="preserve">Rule ID: </w:t>
      </w:r>
      <w:r>
        <w:t xml:space="preserve">nutritional_risk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Nutrition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Detects clinically significant weight loss using the MUST (Malnutrition Universal Screening Tool) percentage-based approach. Replaces arbitrary absolute kg thresholds with percentage body weight loss.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MUST Score 1 (LOW): 5-10% weight loss over baseline period</w:t>
      </w:r>
    </w:p>
    <w:p>
      <w:pPr>
        <w:pStyle w:val="ListBullet2"/>
      </w:pPr>
      <w:r>
        <w:t>MUST Score 2 (MEDIUM): &gt;10% weight loss over baseline period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Elia M. "The MUST Report." BAPEN (British Association for Parenteral and Enteral Nutrition). 2003. https://www.bapen.org.uk</w:t>
      </w:r>
    </w:p>
    <w:p>
      <w:pPr>
        <w:pStyle w:val="ListBullet2"/>
      </w:pPr>
      <w:r>
        <w:t>NICE CG32: "Nutrition support for adults." 2006. https://www.nice.org.uk/guidance/cg32</w:t>
      </w:r>
    </w:p>
    <w:p>
      <w:r>
        <w:rPr>
          <w:b/>
        </w:rPr>
        <w:t xml:space="preserve">Confidence Level: </w:t>
      </w:r>
      <w:r>
        <w:t>~85%. Percentage calculation depends on baseline weight accuracy.</w:t>
      </w:r>
    </w:p>
    <w:p>
      <w:r>
        <w:rPr>
          <w:b/>
        </w:rPr>
        <w:t xml:space="preserve">Data Requirements: </w:t>
      </w:r>
      <w:r>
        <w:t>Minimum 5 days weight readings for baseline. 30-day window.</w:t>
      </w:r>
    </w:p>
    <w:p/>
    <w:p>
      <w:pPr>
        <w:pStyle w:val="Heading3"/>
      </w:pPr>
      <w:r>
        <w:t>5.5 Heart Failure (Fluid Retention)</w:t>
      </w:r>
    </w:p>
    <w:p>
      <w:pPr>
        <w:spacing w:after="120"/>
      </w:pPr>
      <w:r>
        <w:rPr>
          <w:b/>
        </w:rPr>
        <w:t xml:space="preserve">Rule ID: </w:t>
      </w:r>
      <w:r>
        <w:t xml:space="preserve">heart_failure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Cardiovascular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Detects acute fluid retention (weight gain &gt;1.5 kg over 2 days) which is a hallmark sign of decompensated heart failure per AHA guidelines.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Weight gain &gt;1.5 kg in 2-day period (AHA/ACC/HFSA 2022 §7.3.2)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Heidenreich PA, et al. "2022 AHA/ACC/HFSA Guideline for the Management of Heart Failure." Circulation. 2022;145:e895-e1032. DOI: 10.1161/CIR.0000000000001063</w:t>
      </w:r>
    </w:p>
    <w:p>
      <w:pPr>
        <w:pStyle w:val="ListBullet2"/>
      </w:pPr>
      <w:r>
        <w:t>§7.3.2: Daily weight monitoring. &gt;1.5 kg gain over 2 days = actionable threshold.</w:t>
      </w:r>
    </w:p>
    <w:p>
      <w:r>
        <w:rPr>
          <w:b/>
        </w:rPr>
        <w:t xml:space="preserve">Confidence Level: </w:t>
      </w:r>
      <w:r>
        <w:t>~90% for detecting fluid retention. Clinical correlation with heart failure depends on patient history.</w:t>
      </w:r>
    </w:p>
    <w:p>
      <w:r>
        <w:rPr>
          <w:b/>
        </w:rPr>
        <w:t xml:space="preserve">Data Requirements: </w:t>
      </w:r>
      <w:r>
        <w:t>Minimum 2 consecutive days of weight readings.</w:t>
      </w:r>
    </w:p>
    <w:p>
      <w:pPr>
        <w:pStyle w:val="Heading3"/>
      </w:pPr>
      <w:r>
        <w:rPr>
          <w:rFonts w:ascii="Calibri" w:hAnsi="Calibri"/>
          <w:sz w:val="20"/>
        </w:rPr>
        <w:t>5.6 Respiratory Rate Abnormality (Tachypnea)</w:t>
      </w:r>
    </w:p>
    <w:p>
      <w:pPr/>
      <w:r>
        <w:rPr>
          <w:rFonts w:ascii="Calibri" w:hAnsi="Calibri"/>
          <w:sz w:val="20"/>
        </w:rPr>
        <w:t>Rule ID: tachypnea_monitoring  |  Tier: Tier 2  |  Category: Respiratory  |  Evidence: Strong</w:t>
      </w:r>
    </w:p>
    <w:p>
      <w:pPr/>
      <w:r>
        <w:rPr>
          <w:rFonts w:ascii="Calibri" w:hAnsi="Calibri"/>
          <w:sz w:val="20"/>
        </w:rPr>
        <w:t>Detects abnormal respiratory rate using NEWS (National Early Warning Score) thresholds — the UK NHS standard for detecting clinical deterioration. Respiratory rate from consumer wearables is measured via accelerometer during sleep (±1-2 breaths/min accuracy per Breteler 2020). Evidence always includes data_source: "wearable_sleep_derived" for transparency.</w:t>
      </w:r>
    </w:p>
    <w:p>
      <w:pPr>
        <w:pStyle w:val="ListBullet"/>
      </w:pPr>
      <w:r>
        <w:rPr>
          <w:rFonts w:ascii="Calibri" w:hAnsi="Calibri"/>
          <w:sz w:val="20"/>
        </w:rPr>
        <w:t>Thresholds (NEWS2, Royal College of Physicians 2017):</w:t>
      </w:r>
    </w:p>
    <w:p>
      <w:pPr>
        <w:pStyle w:val="ListBullet2"/>
      </w:pPr>
      <w:r>
        <w:rPr>
          <w:rFonts w:ascii="Calibri" w:hAnsi="Calibri"/>
          <w:sz w:val="20"/>
        </w:rPr>
        <w:t>RR 12-20 breaths/min: Normal (NEWS score 0, not flagged)</w:t>
      </w:r>
    </w:p>
    <w:p>
      <w:pPr>
        <w:pStyle w:val="ListBullet2"/>
      </w:pPr>
      <w:r>
        <w:rPr>
          <w:rFonts w:ascii="Calibri" w:hAnsi="Calibri"/>
          <w:sz w:val="20"/>
        </w:rPr>
        <w:t>RR 9-11 breaths/min: Bradypnea (NEWS score 1) → LOW severity</w:t>
      </w:r>
    </w:p>
    <w:p>
      <w:pPr>
        <w:pStyle w:val="ListBullet2"/>
      </w:pPr>
      <w:r>
        <w:rPr>
          <w:rFonts w:ascii="Calibri" w:hAnsi="Calibri"/>
          <w:sz w:val="20"/>
        </w:rPr>
        <w:t>RR 21-24 breaths/min: Tachypnea (NEWS score 2) → MEDIUM severity</w:t>
      </w:r>
    </w:p>
    <w:p>
      <w:pPr>
        <w:pStyle w:val="ListBullet2"/>
      </w:pPr>
      <w:r>
        <w:rPr>
          <w:rFonts w:ascii="Calibri" w:hAnsi="Calibri"/>
          <w:sz w:val="20"/>
        </w:rPr>
        <w:t>RR ≤8 or ≥25 breaths/min: Critical (NEWS score 3) → HIGH severity</w:t>
      </w:r>
    </w:p>
    <w:p>
      <w:pPr>
        <w:pStyle w:val="ListBullet2"/>
      </w:pPr>
      <w:r>
        <w:rPr>
          <w:rFonts w:ascii="Calibri" w:hAnsi="Calibri"/>
          <w:sz w:val="20"/>
        </w:rPr>
        <w:t>Cross-correlation: If SpO2 is also low (&lt;94%) or HR elevated (&gt;1.5 SD), included as severity modifier (Zivaa-defined, labeled as zivaa_enhancement in evidence)</w:t>
      </w:r>
    </w:p>
    <w:p>
      <w:pPr>
        <w:pStyle w:val="ListBullet"/>
      </w:pPr>
      <w:r>
        <w:rPr>
          <w:rFonts w:ascii="Calibri" w:hAnsi="Calibri"/>
          <w:sz w:val="20"/>
        </w:rPr>
        <w:t>Clinical Citations:</w:t>
      </w:r>
    </w:p>
    <w:p>
      <w:pPr>
        <w:pStyle w:val="ListBullet2"/>
      </w:pPr>
      <w:r>
        <w:rPr>
          <w:rFonts w:ascii="Calibri" w:hAnsi="Calibri"/>
          <w:sz w:val="20"/>
        </w:rPr>
        <w:t>Royal College of Physicians. "National Early Warning Score (NEWS) 2." Updated report. London: RCP, 2017.</w:t>
      </w:r>
    </w:p>
    <w:p>
      <w:pPr>
        <w:pStyle w:val="ListBullet2"/>
      </w:pPr>
      <w:r>
        <w:rPr>
          <w:rFonts w:ascii="Calibri" w:hAnsi="Calibri"/>
          <w:sz w:val="20"/>
        </w:rPr>
        <w:t>Cretikos MA, et al. "Respiratory rate: the neglected vital sign." Med J Aust. 2008;188(11):657-659. DOI: 10.5694/j.1326-5377.2008.tb01825.x</w:t>
      </w:r>
    </w:p>
    <w:p>
      <w:pPr>
        <w:pStyle w:val="ListBullet2"/>
      </w:pPr>
      <w:r>
        <w:rPr>
          <w:rFonts w:ascii="Calibri" w:hAnsi="Calibri"/>
          <w:sz w:val="20"/>
        </w:rPr>
        <w:t>Churpek MM, et al. "Multicenter Comparison of ML Methods for Predicting Clinical Deterioration." Crit Care Med. 2016;44(2):368-374. DOI: 10.1097/CCM.0000000000001571</w:t>
      </w:r>
    </w:p>
    <w:p>
      <w:pPr>
        <w:pStyle w:val="ListBullet2"/>
      </w:pPr>
      <w:r>
        <w:rPr>
          <w:rFonts w:ascii="Calibri" w:hAnsi="Calibri"/>
          <w:sz w:val="20"/>
        </w:rPr>
        <w:t>Breteler MJM, et al. "Reliability of wireless monitoring using a wearable patch sensor." J Clin Monit Comput. 2020;34:415-424. (Wearable RR accuracy: ±1-2 bpm during rest/sleep)</w:t>
      </w:r>
    </w:p>
    <w:p>
      <w:pPr/>
      <w:r>
        <w:rPr>
          <w:rFonts w:ascii="Calibri" w:hAnsi="Calibri"/>
          <w:sz w:val="20"/>
        </w:rPr>
        <w:t>Confidence Level: ~85% for extreme values (NEWS score 3). ~75% for moderate range (NEWS score 2). Lower for bradypnea (NEWS score 1) due to normal sleep-related breathing rate variation.</w:t>
      </w:r>
    </w:p>
    <w:p>
      <w:pPr/>
      <w:r>
        <w:rPr>
          <w:rFonts w:ascii="Calibri" w:hAnsi="Calibri"/>
          <w:sz w:val="20"/>
        </w:rPr>
        <w:t>Data Requirements: Single respiratory rate reading. Baseline: 3 days for trend. SpO2 and HR data improve cross-correlation accuracy.</w:t>
      </w:r>
    </w:p>
    <w:p>
      <w:pPr/>
      <w:r>
        <w:rPr>
          <w:rFonts w:ascii="Calibri" w:hAnsi="Calibri"/>
          <w:sz w:val="20"/>
        </w:rPr>
        <w:t>Limitations: Wearable RR is typically measured during sleep only. Daytime RR is not captured. NEWS was designed for clinical (awake, auscultated) RR — applying it to sleep-derived data is a Zivaa adaptation, not a direct guideline application.</w:t>
      </w:r>
    </w:p>
    <w:p/>
    <w:p>
      <w:r>
        <w:br w:type="page"/>
      </w:r>
    </w:p>
    <w:p>
      <w:pPr>
        <w:pStyle w:val="Heading1"/>
      </w:pPr>
      <w:r>
        <w:t>6. Tier 2 — Mental Health Rules</w:t>
      </w:r>
    </w:p>
    <w:p>
      <w:r>
        <w:t>Mental health rules use a dual-source strategy: validated screening instruments (PHQ-2, PSQI) as primary triggers with published cutoffs, and proxy vitals (mood score, sleep quality) as clearly-labeled fallbacks when instruments are not yet available.</w:t>
      </w:r>
    </w:p>
    <w:p>
      <w:pPr>
        <w:pStyle w:val="Heading3"/>
      </w:pPr>
      <w:r>
        <w:t>6.1 Depression / Social Withdrawal</w:t>
      </w:r>
    </w:p>
    <w:p>
      <w:pPr>
        <w:spacing w:after="120"/>
      </w:pPr>
      <w:r>
        <w:rPr>
          <w:b/>
        </w:rPr>
        <w:t xml:space="preserve">Rule ID: </w:t>
      </w:r>
      <w:r>
        <w:t xml:space="preserve">depression_withdrawal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Mental Health  |  </w:t>
      </w:r>
      <w:r>
        <w:rPr>
          <w:b/>
        </w:rPr>
        <w:t xml:space="preserve">Evidence: </w:t>
      </w:r>
      <w:r>
        <w:rPr>
          <w:color w:val="008000"/>
        </w:rPr>
        <w:t>Strong with Fallback</w:t>
      </w:r>
    </w:p>
    <w:p>
      <w:r>
        <w:t>Detects depression risk using PHQ-2 as primary instrument. Falls back to mood_score (1-5) with explicit "unvalidated_fallback" labeling when PHQ-2 is not available.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PHQ-2 ≥ 3: Positive screen (sensitivity 83%, specificity 92%)</w:t>
      </w:r>
    </w:p>
    <w:p>
      <w:pPr>
        <w:pStyle w:val="ListBullet2"/>
      </w:pPr>
      <w:r>
        <w:t>PHQ-2 ≥ 5: Probable Major Depressive Disorder</w:t>
      </w:r>
    </w:p>
    <w:p>
      <w:pPr>
        <w:pStyle w:val="ListBullet2"/>
      </w:pPr>
      <w:r>
        <w:t>Fallback: mood_score ≤ 2/5 + declining trend + activity/sleep cross-correlation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Kroenke K, Spitzer RL, Williams JBW. "The PHQ-2: Validity of a Two-Item Depression Screener." Med Care. 2003;41(11):1284-1292. DOI: 10.1097/01.MLR.0000093487.78664.3C</w:t>
      </w:r>
    </w:p>
    <w:p>
      <w:pPr>
        <w:pStyle w:val="ListBullet2"/>
      </w:pPr>
      <w:r>
        <w:t>Li C, et al. "Validity of PHQ-2 in identifying major depression in older people." JAGS. 2007;55(4):596-602. DOI: 10.1111/j.1532-5415.2007.01103.x (Geriatric validation: sens 100%, spec 77%)</w:t>
      </w:r>
    </w:p>
    <w:p>
      <w:pPr>
        <w:pStyle w:val="ListBullet2"/>
      </w:pPr>
      <w:r>
        <w:t>APA. DSM-5. 2013. Major Depressive Episode criteria §296.21-296.36.</w:t>
      </w:r>
    </w:p>
    <w:p>
      <w:r>
        <w:rPr>
          <w:b/>
        </w:rPr>
        <w:t xml:space="preserve">Confidence Level: </w:t>
      </w:r>
      <w:r>
        <w:t>PHQ-2 path: ~85-90% (validated instrument). Fallback path: ~60-65% (unvalidated, marked accordingly).</w:t>
      </w:r>
    </w:p>
    <w:p>
      <w:r>
        <w:rPr>
          <w:b/>
        </w:rPr>
        <w:t xml:space="preserve">Data Requirements: </w:t>
      </w:r>
      <w:r>
        <w:t>PHQ-2: 3 readings over 90 days. Fallback: 7 days mood_score + steps + sleep.</w:t>
      </w:r>
    </w:p>
    <w:p>
      <w:r>
        <w:rPr>
          <w:b/>
        </w:rPr>
        <w:t xml:space="preserve">Limitations: </w:t>
      </w:r>
      <w:r>
        <w:t>PHQ-2 asks about the past 2 weeks — it should be administered biweekly, not daily. The fallback mood_score (1-5) is not a validated instrument.</w:t>
      </w:r>
    </w:p>
    <w:p/>
    <w:p>
      <w:pPr>
        <w:pStyle w:val="Heading3"/>
      </w:pPr>
      <w:r>
        <w:t>6.2 Anxiety / Agitation</w:t>
      </w:r>
    </w:p>
    <w:p>
      <w:pPr>
        <w:spacing w:after="120"/>
      </w:pPr>
      <w:r>
        <w:rPr>
          <w:b/>
        </w:rPr>
        <w:t xml:space="preserve">Rule ID: </w:t>
      </w:r>
      <w:r>
        <w:t xml:space="preserve">anxiety_agitation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Mental Health  |  </w:t>
      </w:r>
      <w:r>
        <w:rPr>
          <w:b/>
        </w:rPr>
        <w:t xml:space="preserve">Evidence: </w:t>
      </w:r>
      <w:r>
        <w:rPr>
          <w:color w:val="008000"/>
        </w:rPr>
        <w:t>Strong with Fallback</w:t>
      </w:r>
    </w:p>
    <w:p>
      <w:r>
        <w:t>Detects anxiety through physiological proxies (HR z-score, sleep quality). GAD-2 integration is documented as the recommended future improvement.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HR z-score &gt; 1.5 above personal baseline (Chalmers 2014)</w:t>
      </w:r>
    </w:p>
    <w:p>
      <w:pPr>
        <w:pStyle w:val="ListBullet2"/>
      </w:pPr>
      <w:r>
        <w:t>Fever exclusion: if temp &gt; 37.5°C, HR attributed to illness instead</w:t>
      </w:r>
    </w:p>
    <w:p>
      <w:pPr>
        <w:pStyle w:val="ListBullet2"/>
      </w:pPr>
      <w:r>
        <w:t>Sleep quality &lt; 40/100 as supporting signal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Chalmers JA, et al. "Anxiety Disorders are Associated with Reduced Heart Rate Variability: A Meta-Analysis." Front Psychiatry. 2014;5:80. DOI: 10.3389/fpsyt.2014.00080</w:t>
      </w:r>
    </w:p>
    <w:p>
      <w:pPr>
        <w:pStyle w:val="ListBullet2"/>
      </w:pPr>
      <w:r>
        <w:t>Kroenke K, et al. "Anxiety disorders in primary care." Ann Intern Med. 2007;146(5):317-325. DOI: 10.7326/0003-4819-146-5-200703060-00004 (GAD-2: sens 86%, spec 83% at ≥3)</w:t>
      </w:r>
    </w:p>
    <w:p>
      <w:r>
        <w:rPr>
          <w:b/>
        </w:rPr>
        <w:t xml:space="preserve">Confidence Level: </w:t>
      </w:r>
      <w:r>
        <w:t>~65-70% (physiological proxy, not a validated anxiety instrument). Would improve to ~85% with GAD-2 integration.</w:t>
      </w:r>
    </w:p>
    <w:p>
      <w:r>
        <w:rPr>
          <w:b/>
        </w:rPr>
        <w:t xml:space="preserve">Data Requirements: </w:t>
      </w:r>
      <w:r>
        <w:t>HR baseline (5 days) + sleep quality data. Optional: mood data.</w:t>
      </w:r>
    </w:p>
    <w:p>
      <w:r>
        <w:rPr>
          <w:b/>
        </w:rPr>
        <w:t xml:space="preserve">Limitations: </w:t>
      </w:r>
      <w:r>
        <w:t>No validated anxiety instrument is integrated yet. HR elevation has many causes beyond anxiety (caffeine, dehydration, illness). Fever exclusion helps but doesn't eliminate all confounds.</w:t>
      </w:r>
    </w:p>
    <w:p/>
    <w:p>
      <w:pPr>
        <w:pStyle w:val="Heading3"/>
      </w:pPr>
      <w:r>
        <w:t>6.3 Chronic Sleep Disturbance</w:t>
      </w:r>
    </w:p>
    <w:p>
      <w:pPr>
        <w:spacing w:after="120"/>
      </w:pPr>
      <w:r>
        <w:rPr>
          <w:b/>
        </w:rPr>
        <w:t xml:space="preserve">Rule ID: </w:t>
      </w:r>
      <w:r>
        <w:t xml:space="preserve">sleep_disturbance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Mental Health  |  </w:t>
      </w:r>
      <w:r>
        <w:rPr>
          <w:b/>
        </w:rPr>
        <w:t xml:space="preserve">Evidence: </w:t>
      </w:r>
      <w:r>
        <w:rPr>
          <w:color w:val="008000"/>
        </w:rPr>
        <w:t>Strong with Fallback</w:t>
      </w:r>
    </w:p>
    <w:p>
      <w:r>
        <w:t>3-tier evidence hierarchy: PSQI Item 6 (validated), wearable sleep efficiency (AASM-aligned), or sleep_quality score (unvalidated fallback).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PSQI Item 6 ≥ 2 ("Fairly Bad"): LOW severity</w:t>
      </w:r>
    </w:p>
    <w:p>
      <w:pPr>
        <w:pStyle w:val="ListBullet2"/>
      </w:pPr>
      <w:r>
        <w:t>PSQI Item 6 = 3 ("Very Bad"): MEDIUM severity</w:t>
      </w:r>
    </w:p>
    <w:p>
      <w:pPr>
        <w:pStyle w:val="ListBullet2"/>
      </w:pPr>
      <w:r>
        <w:t>Sleep efficiency &lt; 85%: AASM ICSD-3 insomnia criterion</w:t>
      </w:r>
    </w:p>
    <w:p>
      <w:pPr>
        <w:pStyle w:val="ListBullet2"/>
      </w:pPr>
      <w:r>
        <w:t>Fallback: sleep_quality &lt; baseline - 20 AND &lt; 50/100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Buysse DJ, et al. "The Pittsburgh Sleep Quality Index." Psychiatry Res. 1989;28(2):193-213. DOI: 10.1016/0165-1781(89)90047-4 (Item 6 correlation with global PSQI: r=0.80)</w:t>
      </w:r>
    </w:p>
    <w:p>
      <w:pPr>
        <w:pStyle w:val="ListBullet2"/>
      </w:pPr>
      <w:r>
        <w:t>AASM. "International Classification of Sleep Disorders, Third Edition (ICSD-3)." 2014. Insomnia criterion: sleep efficiency &lt; 85%.</w:t>
      </w:r>
    </w:p>
    <w:p>
      <w:pPr>
        <w:pStyle w:val="ListBullet2"/>
      </w:pPr>
      <w:r>
        <w:t>Mander BA, et al. "Sleep and Human Aging." Neuron. 2017;94(1):19-36. DOI: 10.1016/j.neuron.2017.02.004</w:t>
      </w:r>
    </w:p>
    <w:p>
      <w:pPr>
        <w:pStyle w:val="ListBullet2"/>
      </w:pPr>
      <w:r>
        <w:t>Shi L, et al. "Sleep disturbances increase the risk of dementia." Sleep Med Rev. 2018;40:4-16. DOI: 10.1016/j.smrv.2017.06.010 (1.68x dementia risk)</w:t>
      </w:r>
    </w:p>
    <w:p>
      <w:r>
        <w:rPr>
          <w:b/>
        </w:rPr>
        <w:t xml:space="preserve">Confidence Level: </w:t>
      </w:r>
      <w:r>
        <w:t>PSQI path: ~85% (validated, r=0.80 with global PSQI). AASM path: ~80% (objective wearable). Fallback: ~55-60%.</w:t>
      </w:r>
    </w:p>
    <w:p>
      <w:r>
        <w:rPr>
          <w:b/>
        </w:rPr>
        <w:t xml:space="preserve">Data Requirements: </w:t>
      </w:r>
      <w:r>
        <w:t>PSQI: 3 readings over 60 days. Sleep efficiency: 7 days. Fallback: 7 days sleep_quality.</w:t>
      </w:r>
    </w:p>
    <w:p/>
    <w:p>
      <w:pPr>
        <w:pStyle w:val="Heading3"/>
      </w:pPr>
      <w:r>
        <w:t>6.4 Emotional Wellbeing Decline</w:t>
      </w:r>
    </w:p>
    <w:p>
      <w:pPr>
        <w:spacing w:after="120"/>
      </w:pPr>
      <w:r>
        <w:rPr>
          <w:b/>
        </w:rPr>
        <w:t xml:space="preserve">Rule ID: </w:t>
      </w:r>
      <w:r>
        <w:t xml:space="preserve">emotional_wellbeing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Mental Health  |  </w:t>
      </w:r>
      <w:r>
        <w:rPr>
          <w:b/>
        </w:rPr>
        <w:t xml:space="preserve">Evidence: </w:t>
      </w:r>
      <w:r>
        <w:rPr>
          <w:color w:val="008000"/>
        </w:rPr>
        <w:t>Strong with Fallback</w:t>
      </w:r>
    </w:p>
    <w:p>
      <w:r>
        <w:t>Catches persistent flat low mood (without recent decline trend) using PHQ-2 as primary instrument. Complements the Depression rule which requires trend + cross-correlation.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PHQ-2 ≥ 3: LOW (positive screen)</w:t>
      </w:r>
    </w:p>
    <w:p>
      <w:pPr>
        <w:pStyle w:val="ListBullet2"/>
      </w:pPr>
      <w:r>
        <w:t>PHQ-2 ≥ 5: MEDIUM (probable depression)</w:t>
      </w:r>
    </w:p>
    <w:p>
      <w:pPr>
        <w:pStyle w:val="ListBullet2"/>
      </w:pPr>
      <w:r>
        <w:t>Fallback: mood_score ≤ 2/5 when baseline &gt; 3/5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Kroenke K, et al. "The PHQ-2." Med Care. 2003;41(11):1284-1292.</w:t>
      </w:r>
    </w:p>
    <w:p>
      <w:pPr>
        <w:pStyle w:val="ListBullet2"/>
      </w:pPr>
      <w:r>
        <w:t>Löwe B, et al. "Detecting and monitoring depression with PHQ-2." J Psychosom Res. 2005;58(2):163-171. DOI: 10.1016/j.jpsychores.2004.09.006</w:t>
      </w:r>
    </w:p>
    <w:p>
      <w:r>
        <w:rPr>
          <w:b/>
        </w:rPr>
        <w:t xml:space="preserve">Confidence Level: </w:t>
      </w:r>
      <w:r>
        <w:t>PHQ-2 path: ~85%. Fallback: ~55-60%.</w:t>
      </w:r>
    </w:p>
    <w:p>
      <w:r>
        <w:rPr>
          <w:b/>
        </w:rPr>
        <w:t xml:space="preserve">Data Requirements: </w:t>
      </w:r>
      <w:r>
        <w:t>Same as Depression rule.</w:t>
      </w:r>
    </w:p>
    <w:p/>
    <w:p>
      <w:r>
        <w:br w:type="page"/>
      </w:r>
    </w:p>
    <w:p>
      <w:pPr>
        <w:pStyle w:val="Heading1"/>
      </w:pPr>
      <w:r>
        <w:t>7. Tier 3 — Laboratory Rules (RCV-Enhanced)</w:t>
      </w:r>
    </w:p>
    <w:p>
      <w:r>
        <w:t>All Tier 3 rules are enhanced with RCV-based trend analysis from the EFLM Biological Variation Database. Each rule uses LabMetric trend properties (.is_worsening, .trend_direction, .rate_alert) as primary or supporting evidence, with graceful fallback to raw value comparisons when trend data is unavailable.</w:t>
      </w:r>
    </w:p>
    <w:p>
      <w:pPr>
        <w:pStyle w:val="Heading3"/>
      </w:pPr>
      <w:r>
        <w:t>7.1 Anemia / Low Iron Detection</w:t>
      </w:r>
    </w:p>
    <w:p>
      <w:pPr>
        <w:spacing w:after="120"/>
      </w:pPr>
      <w:r>
        <w:rPr>
          <w:b/>
        </w:rPr>
        <w:t xml:space="preserve">Rule ID: </w:t>
      </w:r>
      <w:r>
        <w:t xml:space="preserve">anemia_detection  |  </w:t>
      </w:r>
      <w:r>
        <w:rPr>
          <w:b/>
        </w:rPr>
        <w:t xml:space="preserve">Tier: </w:t>
      </w:r>
      <w:r>
        <w:t xml:space="preserve">Tier 3  |  </w:t>
      </w:r>
      <w:r>
        <w:rPr>
          <w:b/>
        </w:rPr>
        <w:t xml:space="preserve">Category: </w:t>
      </w:r>
      <w:r>
        <w:t xml:space="preserve">Hematology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Detects anemia using WHO 2011 sex-specific hemoglobin thresholds with 3-tier severity classification. v3.0: If hemoglobin is RCV-confirmed worsening (declining trend below range, RCV=8.8%), severity is escalated by one level to emphasize active decline. Hemoglobin is an inverse-polarity biomarker (declining = worsening).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Male threshold: Hgb &lt;13.0 g/dL. Female threshold: Hgb &lt;12.0 g/dL</w:t>
      </w:r>
    </w:p>
    <w:p>
      <w:pPr>
        <w:pStyle w:val="ListBullet2"/>
      </w:pPr>
      <w:r>
        <w:t>Mild: Hgb 11.0-12.9 (M) / 11.0-11.9 (F)</w:t>
      </w:r>
    </w:p>
    <w:p>
      <w:pPr>
        <w:pStyle w:val="ListBullet2"/>
      </w:pPr>
      <w:r>
        <w:t>Moderate: Hgb 8.0-10.9</w:t>
      </w:r>
    </w:p>
    <w:p>
      <w:pPr>
        <w:pStyle w:val="ListBullet2"/>
      </w:pPr>
      <w:r>
        <w:t>Severe: Hgb &lt;8.0 (HIGH severity)</w:t>
      </w:r>
    </w:p>
    <w:p>
      <w:pPr>
        <w:pStyle w:val="ListBullet2"/>
      </w:pPr>
      <w:r>
        <w:t>RCV escalation: mild + declining trend -&gt; MEDIUM; moderate + declining -&gt; HIGH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WHO. "Haemoglobin concentrations for the diagnosis of anaemia and assessment of severity." 2011. WHO/NMH/NHD/MNM/11.1. Tables 1 &amp; 2.</w:t>
      </w:r>
    </w:p>
    <w:p>
      <w:pPr>
        <w:pStyle w:val="ListBullet2"/>
      </w:pPr>
      <w:r>
        <w:t>Kasper DL, et al. Harrison's Principles of Internal Medicine. Chapter 93.</w:t>
      </w:r>
    </w:p>
    <w:p>
      <w:pPr>
        <w:pStyle w:val="ListBullet2"/>
      </w:pPr>
      <w:r>
        <w:t>Aarsand AK, et al. "EuBIVAS." Clin Chem. 2018;64(9):1380-1393. (Hemoglobin CVi=2.8%, CVa=1.5%, RCV=8.8%)</w:t>
      </w:r>
    </w:p>
    <w:p>
      <w:r>
        <w:rPr>
          <w:b/>
        </w:rPr>
        <w:t xml:space="preserve">Confidence Level: </w:t>
      </w:r>
      <w:r>
        <w:t>~95% (exact WHO thresholds). RCV-confirmed trends improve detection of progressive anemia.</w:t>
      </w:r>
    </w:p>
    <w:p>
      <w:r>
        <w:rPr>
          <w:b/>
        </w:rPr>
        <w:t xml:space="preserve">Data Requirements: </w:t>
      </w:r>
      <w:r>
        <w:t>Single hemoglobin lab result + patient sex. Two+ readings for trend analysis.</w:t>
      </w:r>
    </w:p>
    <w:p/>
    <w:p>
      <w:pPr>
        <w:pStyle w:val="Heading3"/>
      </w:pPr>
      <w:r>
        <w:t>7.2 Pre-Diabetes -&gt; Diabetes Progression</w:t>
      </w:r>
    </w:p>
    <w:p>
      <w:pPr>
        <w:spacing w:after="120"/>
      </w:pPr>
      <w:r>
        <w:rPr>
          <w:b/>
        </w:rPr>
        <w:t xml:space="preserve">Rule ID: </w:t>
      </w:r>
      <w:r>
        <w:t xml:space="preserve">prediabetes_progression  |  </w:t>
      </w:r>
      <w:r>
        <w:rPr>
          <w:b/>
        </w:rPr>
        <w:t xml:space="preserve">Tier: </w:t>
      </w:r>
      <w:r>
        <w:t xml:space="preserve">Tier 3  |  </w:t>
      </w:r>
      <w:r>
        <w:rPr>
          <w:b/>
        </w:rPr>
        <w:t xml:space="preserve">Category: </w:t>
      </w:r>
      <w:r>
        <w:t xml:space="preserve">Metabolic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Monitors HbA1c trajectory for diabetes progression using ADA 2024 classification. v3.0: Uses LabMetric.is_worsening (RCV-confirmed rising trend + above reference range) as the primary trigger instead of raw value comparison. HbA1c has RCV=6.7% (CVi=1.9%, CVa=1.5%), meaning changes &gt;6.7% are clinically meaningful. Includes ADA rate-of-change alert: HbA1c rise &gt;0.5% per 6 months triggers "therapy_review_needed" per ADA 2024 Standards of Care.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HbA1c 5.7-6.4%: Pre-diabetes range (ADA 2024 S2 Table 2.3)</w:t>
      </w:r>
    </w:p>
    <w:p>
      <w:pPr>
        <w:pStyle w:val="ListBullet2"/>
      </w:pPr>
      <w:r>
        <w:t>HbA1c &gt;=6.5%: Diabetes diagnosis threshold</w:t>
      </w:r>
    </w:p>
    <w:p>
      <w:pPr>
        <w:pStyle w:val="ListBullet2"/>
      </w:pPr>
      <w:r>
        <w:t>RCV threshold: 6.7% (EFLM: CVi=1.9%, CVa=1.5%)</w:t>
      </w:r>
    </w:p>
    <w:p>
      <w:pPr>
        <w:pStyle w:val="ListBullet2"/>
      </w:pPr>
      <w:r>
        <w:t>Rate alert: HbA1c rise &gt;0.5%/6mo = "therapy_review_needed" (ADA 2024)</w:t>
      </w:r>
    </w:p>
    <w:p>
      <w:pPr>
        <w:pStyle w:val="ListBullet2"/>
      </w:pPr>
      <w:r>
        <w:t>Cross-correlated with blood glucose and step count trends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ADA. "Standards of Care in Diabetes -- 2024." S2: Diagnosis and Classification. Table 2.3.</w:t>
      </w:r>
    </w:p>
    <w:p>
      <w:pPr>
        <w:pStyle w:val="ListBullet2"/>
      </w:pPr>
      <w:r>
        <w:t>ADA. "Standards of Care in Diabetes -- 2024." S3: Rate-of-change therapy review.</w:t>
      </w:r>
    </w:p>
    <w:p>
      <w:pPr>
        <w:pStyle w:val="ListBullet2"/>
      </w:pPr>
      <w:r>
        <w:t>Aarsand AK, et al. Clin Chem. 2018. (HbA1c CVi=1.9%, CVa=1.5%, RCV=6.7%)</w:t>
      </w:r>
    </w:p>
    <w:p>
      <w:pPr>
        <w:pStyle w:val="ListBullet2"/>
      </w:pPr>
      <w:r>
        <w:t>Fraser CG. "Biological Variation: From Principles to Practice." AACC Press, 2001.</w:t>
      </w:r>
    </w:p>
    <w:p>
      <w:r>
        <w:rPr>
          <w:b/>
        </w:rPr>
        <w:t xml:space="preserve">Confidence Level: </w:t>
      </w:r>
      <w:r>
        <w:t>~95% (ADA thresholds) + RCV-filtered trend confirmation reduces false positives from biological noise.</w:t>
      </w:r>
    </w:p>
    <w:p>
      <w:r>
        <w:rPr>
          <w:b/>
        </w:rPr>
        <w:t xml:space="preserve">Data Requirements: </w:t>
      </w:r>
      <w:r>
        <w:t>Two or more HbA1c readings. Optional: blood glucose + steps for cross-correlation.</w:t>
      </w:r>
    </w:p>
    <w:p/>
    <w:p>
      <w:pPr>
        <w:pStyle w:val="Heading3"/>
      </w:pPr>
      <w:r>
        <w:t>7.3 Cardiovascular Risk (Cholesterol)</w:t>
      </w:r>
    </w:p>
    <w:p>
      <w:pPr>
        <w:spacing w:after="120"/>
      </w:pPr>
      <w:r>
        <w:rPr>
          <w:b/>
        </w:rPr>
        <w:t xml:space="preserve">Rule ID: </w:t>
      </w:r>
      <w:r>
        <w:t xml:space="preserve">cardiovascular_risk  |  </w:t>
      </w:r>
      <w:r>
        <w:rPr>
          <w:b/>
        </w:rPr>
        <w:t xml:space="preserve">Tier: </w:t>
      </w:r>
      <w:r>
        <w:t xml:space="preserve">Tier 3  |  </w:t>
      </w:r>
      <w:r>
        <w:rPr>
          <w:b/>
        </w:rPr>
        <w:t xml:space="preserve">Category: </w:t>
      </w:r>
      <w:r>
        <w:t xml:space="preserve">Cardiovascular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Classifies LDL cholesterol risk per ACC/AHA 2018 guidelines with 3-tier stratification. v3.0: Uses LabMetric.is_worsening as a severity modifier. If LDL is on a RCV-confirmed rising trend (&gt;23.7% change, CVi=8.3%), severity is escalated. Combined with Stage 2 hypertension (SBP &gt;140) for ASCVD risk assessment.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LDL &gt;=130 mg/dL (Borderline High): MEDIUM -&gt; escalated if RCV-worsening</w:t>
      </w:r>
    </w:p>
    <w:p>
      <w:pPr>
        <w:pStyle w:val="ListBullet2"/>
      </w:pPr>
      <w:r>
        <w:t>LDL &gt;=160 mg/dL (High): HIGH</w:t>
      </w:r>
    </w:p>
    <w:p>
      <w:pPr>
        <w:pStyle w:val="ListBullet2"/>
      </w:pPr>
      <w:r>
        <w:t>LDL &gt;=190 mg/dL (Very High): HIGH</w:t>
      </w:r>
    </w:p>
    <w:p>
      <w:pPr>
        <w:pStyle w:val="ListBullet2"/>
      </w:pPr>
      <w:r>
        <w:t>RCV threshold: 23.7% (EFLM: CVi=8.3%, CVa=2.0%)</w:t>
      </w:r>
    </w:p>
    <w:p>
      <w:pPr>
        <w:pStyle w:val="ListBullet2"/>
      </w:pPr>
      <w:r>
        <w:t>BP cross-correlation: SBP &gt;140 (ACC/AHA Stage 2) -&gt; severity escalation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Grundy SM, et al. "2018 AHA/ACC Guideline on Blood Cholesterol." J Am Coll Cardiol. 2019;73(24):e285-e350.</w:t>
      </w:r>
    </w:p>
    <w:p>
      <w:pPr>
        <w:pStyle w:val="ListBullet2"/>
      </w:pPr>
      <w:r>
        <w:t>Whelton PK, et al. "2017 ACC/AHA Hypertension Guideline."</w:t>
      </w:r>
    </w:p>
    <w:p>
      <w:pPr>
        <w:pStyle w:val="ListBullet2"/>
      </w:pPr>
      <w:r>
        <w:t>Ricos C, et al. Scand J Clin Lab Invest. 1999. (LDL CVi=8.3%, CVa=2.0%)</w:t>
      </w:r>
    </w:p>
    <w:p>
      <w:r>
        <w:rPr>
          <w:b/>
        </w:rPr>
        <w:t xml:space="preserve">Confidence Level: </w:t>
      </w:r>
      <w:r>
        <w:t>~95% (exact guideline thresholds). RCV trend adds severity escalation when clinically meaningful rise confirmed.</w:t>
      </w:r>
    </w:p>
    <w:p>
      <w:r>
        <w:rPr>
          <w:b/>
        </w:rPr>
        <w:t xml:space="preserve">Data Requirements: </w:t>
      </w:r>
      <w:r>
        <w:t>Single LDL lab result. Two+ for trend. BP readings for cross-correlation.</w:t>
      </w:r>
    </w:p>
    <w:p/>
    <w:p>
      <w:pPr>
        <w:pStyle w:val="Heading3"/>
      </w:pPr>
      <w:r>
        <w:t>7.4 Thyroid Dysfunction</w:t>
      </w:r>
    </w:p>
    <w:p>
      <w:pPr>
        <w:spacing w:after="120"/>
      </w:pPr>
      <w:r>
        <w:rPr>
          <w:b/>
        </w:rPr>
        <w:t xml:space="preserve">Rule ID: </w:t>
      </w:r>
      <w:r>
        <w:t xml:space="preserve">thyroid_dysfunction  |  </w:t>
      </w:r>
      <w:r>
        <w:rPr>
          <w:b/>
        </w:rPr>
        <w:t xml:space="preserve">Tier: </w:t>
      </w:r>
      <w:r>
        <w:t xml:space="preserve">Tier 3  |  </w:t>
      </w:r>
      <w:r>
        <w:rPr>
          <w:b/>
        </w:rPr>
        <w:t xml:space="preserve">Category: </w:t>
      </w:r>
      <w:r>
        <w:t xml:space="preserve">Endocrine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Detects hypothyroidism (high TSH) and hyperthyroidism (low TSH) per ATA guidelines. v3.0: RCV filtering is critically important for TSH because it has one of the highest biological variation coefficients (CVi=19.3%, RCV=54.1%). A healthy person's TSH can vary by ~40% between two draws. Only RCV-confirmed worsening trends are used as evidence. Falls back to raw out-of-range check if trend data is unavailable. Cross-correlated with HR (bradycardia/tachycardia) and weight (gain/loss) per Harrison's Ch. 376.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TSH &gt;4.5 mIU/L: Hypothyroidism (ATA/AACE 2012)</w:t>
      </w:r>
    </w:p>
    <w:p>
      <w:pPr>
        <w:pStyle w:val="ListBullet2"/>
      </w:pPr>
      <w:r>
        <w:t>TSH &lt;0.4 mIU/L: Hyperthyroidism (ATA 2016)</w:t>
      </w:r>
    </w:p>
    <w:p>
      <w:pPr>
        <w:pStyle w:val="ListBullet2"/>
      </w:pPr>
      <w:r>
        <w:t>RCV threshold: 54.1% (EFLM: CVi=19.3%, CVa=2.5%)</w:t>
      </w:r>
    </w:p>
    <w:p>
      <w:pPr>
        <w:pStyle w:val="ListBullet2"/>
      </w:pPr>
      <w:r>
        <w:t>Hypothyroid cross-correlation: bradycardia (&lt;60 bpm) + weight gain</w:t>
      </w:r>
    </w:p>
    <w:p>
      <w:pPr>
        <w:pStyle w:val="ListBullet2"/>
      </w:pPr>
      <w:r>
        <w:t>Hyperthyroid cross-correlation: tachycardia (&gt;90 bpm) + weight loss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Garber JR, et al. "Clinical Practice Guidelines for Hypothyroidism." ATA/AACE 2012. Thyroid. 2012;22(12):1200-1235.</w:t>
      </w:r>
    </w:p>
    <w:p>
      <w:pPr>
        <w:pStyle w:val="ListBullet2"/>
      </w:pPr>
      <w:r>
        <w:t>Ross DS, et al. "2016 ATA Guidelines for Hyperthyroidism." Thyroid. 2016;26(10):1343-1421.</w:t>
      </w:r>
    </w:p>
    <w:p>
      <w:pPr>
        <w:pStyle w:val="ListBullet2"/>
      </w:pPr>
      <w:r>
        <w:t>Harrison's 21st Ed. Ch. 376: Disorders of the Thyroid Gland.</w:t>
      </w:r>
    </w:p>
    <w:p>
      <w:pPr>
        <w:pStyle w:val="ListBullet2"/>
      </w:pPr>
      <w:r>
        <w:t>Ricos C, et al. Scand J Clin Lab Invest. 1999. (TSH CVi=19.3%, CVa=2.5%, RCV=54.1%)</w:t>
      </w:r>
    </w:p>
    <w:p>
      <w:r>
        <w:rPr>
          <w:b/>
        </w:rPr>
        <w:t xml:space="preserve">Confidence Level: </w:t>
      </w:r>
      <w:r>
        <w:t>~90% with RCV filtering. The high RCV threshold (54.1%) significantly reduces false thyroid alerts from normal TSH fluctuation.</w:t>
      </w:r>
    </w:p>
    <w:p>
      <w:r>
        <w:rPr>
          <w:b/>
        </w:rPr>
        <w:t xml:space="preserve">Data Requirements: </w:t>
      </w:r>
      <w:r>
        <w:t>Single TSH lab result. Two+ for RCV trend. Weight/HR for cross-correlation.</w:t>
      </w:r>
    </w:p>
    <w:p>
      <w:r>
        <w:rPr>
          <w:b/>
        </w:rPr>
        <w:t xml:space="preserve">Limitations: </w:t>
      </w:r>
      <w:r>
        <w:t>TSH extreme bio-variation means many real-but-small TSH changes will be classified as "stable" by RCV. This is by design -- only large, clinically meaningful changes trigger.</w:t>
      </w:r>
    </w:p>
    <w:p/>
    <w:p>
      <w:pPr>
        <w:pStyle w:val="Heading3"/>
      </w:pPr>
      <w:r>
        <w:t>7.5 Kidney Function Decline</w:t>
      </w:r>
    </w:p>
    <w:p>
      <w:pPr>
        <w:spacing w:after="120"/>
      </w:pPr>
      <w:r>
        <w:rPr>
          <w:b/>
        </w:rPr>
        <w:t xml:space="preserve">Rule ID: </w:t>
      </w:r>
      <w:r>
        <w:t xml:space="preserve">kidney_decline  |  </w:t>
      </w:r>
      <w:r>
        <w:rPr>
          <w:b/>
        </w:rPr>
        <w:t xml:space="preserve">Tier: </w:t>
      </w:r>
      <w:r>
        <w:t xml:space="preserve">Tier 3  |  </w:t>
      </w:r>
      <w:r>
        <w:rPr>
          <w:b/>
        </w:rPr>
        <w:t xml:space="preserve">Category: </w:t>
      </w:r>
      <w:r>
        <w:t xml:space="preserve">Renal  |  </w:t>
      </w:r>
      <w:r>
        <w:rPr>
          <w:b/>
        </w:rPr>
        <w:t xml:space="preserve">Evidence: </w:t>
      </w:r>
      <w:r>
        <w:rPr>
          <w:color w:val="008000"/>
        </w:rPr>
        <w:t>Strong</w:t>
      </w:r>
    </w:p>
    <w:p>
      <w:r>
        <w:t>Monitors eGFR for chronic kidney disease per KDIGO 2024. v3.0: Uses LabMetric.is_worsening (RCV-confirmed declining trend below range, RCV=15.9%) as the primary trigger. eGFR is an inverse-polarity biomarker (declining = worsening). Integrates KDIGO rate-of-change alert: eGFR decline &gt;5 mL/min/year = "rapid_progression" which automatically escalates severity to HIGH. Cross-correlated with BP and weight for fluid retention detection.</w:t>
      </w:r>
    </w:p>
    <w:p>
      <w:pPr>
        <w:pStyle w:val="ListBullet"/>
      </w:pPr>
      <w:r>
        <w:t>Thresholds:</w:t>
      </w:r>
    </w:p>
    <w:p>
      <w:pPr>
        <w:pStyle w:val="ListBullet2"/>
      </w:pPr>
      <w:r>
        <w:t>eGFR &lt;60 mL/min: CKD Stage 3+ (KDIGO 2024)</w:t>
      </w:r>
    </w:p>
    <w:p>
      <w:pPr>
        <w:pStyle w:val="ListBullet2"/>
      </w:pPr>
      <w:r>
        <w:t>RCV threshold: 15.9% (derived from Creatinine: CVi=5.3%, CVa=2.2%)</w:t>
      </w:r>
    </w:p>
    <w:p>
      <w:pPr>
        <w:pStyle w:val="ListBullet2"/>
      </w:pPr>
      <w:r>
        <w:t>Rate alert: eGFR decline &gt;5 mL/min/year = "rapid_progression" (KDIGO 2024)</w:t>
      </w:r>
    </w:p>
    <w:p>
      <w:pPr>
        <w:pStyle w:val="ListBullet2"/>
      </w:pPr>
      <w:r>
        <w:t>KDIGO rate alert present -&gt; severity automatically escalated to HIGH</w:t>
      </w:r>
    </w:p>
    <w:p>
      <w:pPr>
        <w:pStyle w:val="ListBullet2"/>
      </w:pPr>
      <w:r>
        <w:t>Cross-correlated with rising BP and weight gain (fluid retention)</w:t>
      </w:r>
    </w:p>
    <w:p>
      <w:pPr>
        <w:pStyle w:val="ListBullet"/>
      </w:pPr>
      <w:r>
        <w:t>Clinical Citations:</w:t>
      </w:r>
    </w:p>
    <w:p>
      <w:pPr>
        <w:pStyle w:val="ListBullet2"/>
      </w:pPr>
      <w:r>
        <w:t>KDIGO 2024. "Clinical Practice Guideline for CKD." Kidney Int Suppl. 2024;14(4S):e1-e314.</w:t>
      </w:r>
    </w:p>
    <w:p>
      <w:pPr>
        <w:pStyle w:val="ListBullet2"/>
      </w:pPr>
      <w:r>
        <w:t>Levey AS, et al. "CKD-EPI equation." Ann Intern Med. 2009;150(9):604-612.</w:t>
      </w:r>
    </w:p>
    <w:p>
      <w:pPr>
        <w:pStyle w:val="ListBullet2"/>
      </w:pPr>
      <w:r>
        <w:t>Aarsand AK, et al. Clin Chem. 2018. (Creatinine CVi=5.3%, CVa=2.2%)</w:t>
      </w:r>
    </w:p>
    <w:p>
      <w:r>
        <w:rPr>
          <w:b/>
        </w:rPr>
        <w:t xml:space="preserve">Confidence Level: </w:t>
      </w:r>
      <w:r>
        <w:t>~95% (KDIGO staging + KDIGO rate thresholds). RCV-confirmed trends provide strongest evidence for progressive CKD.</w:t>
      </w:r>
    </w:p>
    <w:p>
      <w:r>
        <w:rPr>
          <w:b/>
        </w:rPr>
        <w:t xml:space="preserve">Data Requirements: </w:t>
      </w:r>
      <w:r>
        <w:t>Two+ eGFR readings for trend. BP and weight for cross-correlation.</w:t>
      </w:r>
    </w:p>
    <w:p/>
    <w:p>
      <w:r>
        <w:br w:type="page"/>
      </w:r>
    </w:p>
    <w:p>
      <w:pPr>
        <w:pStyle w:val="Heading1"/>
      </w:pPr>
      <w:r>
        <w:t>8. Data Requirements &amp; Confidence Analysis</w:t>
      </w:r>
    </w:p>
    <w:p>
      <w:pPr>
        <w:pStyle w:val="Heading2"/>
      </w:pPr>
      <w:r>
        <w:t>8.1 Baseline Reliability by Sample Size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Days of Data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Std Estimate Error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z-score Reliability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±35%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z=2.0 appears as 1.3-2.7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Minimum (onboarding only)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z=2.0 appears as 1.6-2.4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Minimum for clinical use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±13%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z=2.0 appears as 1.7-2.3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Recommended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z=2.0 appears as 1.8-2.2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Optimal</w:t>
            </w:r>
          </w:p>
        </w:tc>
      </w:tr>
    </w:tbl>
    <w:p/>
    <w:p>
      <w:pPr>
        <w:pStyle w:val="Heading2"/>
      </w:pPr>
      <w:r>
        <w:t>8.2 Overall Confidence by Rule Category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Confidence 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Primary Limitation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Vital Signs (BP, HR)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90-97%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Measurement accuracy of wearable device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Activity (Steps)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80-90%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Device not worn, weekend variability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Labs (thresholds only)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90-95%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Depends on lab quality and recency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Labs (RCV-enhanced trends)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95%+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Per-biomarker RCV from EFLM database; requires 2+ readings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Mental Health (PHQ-2)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85-90%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patient to complete questionnaire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Mental Health (fallback)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55-65%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Non-validated instrument, proxy signals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Respiratory (SpO2)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85-95%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Pulse oximeter accuracy, skin pigmentation</w:t>
            </w:r>
          </w:p>
        </w:tc>
      </w:tr>
      <w:tr>
        <w:tc>
          <w:tcPr>
            <w:tcW w:type="dxa" w:w="2880"/>
          </w:tcPr>
          <w:p>
            <w:r>
              <w:t>Respiratory Rate</w:t>
            </w:r>
          </w:p>
        </w:tc>
        <w:tc>
          <w:tcPr>
            <w:tcW w:type="dxa" w:w="2880"/>
          </w:tcPr>
          <w:p>
            <w:r>
              <w:t>75-85%</w:t>
            </w:r>
          </w:p>
        </w:tc>
        <w:tc>
          <w:tcPr>
            <w:tcW w:type="dxa" w:w="2880"/>
          </w:tcPr>
          <w:p>
            <w:r>
              <w:t>Sleep-only measurement, NEWS designed for clinical auscultation</w:t>
            </w:r>
          </w:p>
        </w:tc>
      </w:tr>
    </w:tbl>
    <w:p>
      <w:r>
        <w:br w:type="page"/>
      </w:r>
    </w:p>
    <w:p>
      <w:pPr>
        <w:pStyle w:val="Heading1"/>
      </w:pPr>
      <w:r>
        <w:t>9. Complete Citation Index</w:t>
      </w:r>
    </w:p>
    <w:p>
      <w:pPr>
        <w:pStyle w:val="ListNumber"/>
      </w:pPr>
      <w:r>
        <w:t>1. ADA. "Standards of Care in Diabetes — 2024." Diabetes Care. 2024;47(Suppl 1).</w:t>
      </w:r>
    </w:p>
    <w:p>
      <w:pPr>
        <w:pStyle w:val="ListNumber"/>
      </w:pPr>
      <w:r>
        <w:t>2. APA. "Diagnostic and Statistical Manual of Mental Disorders, Fifth Edition (DSM-5)." 2013.</w:t>
      </w:r>
    </w:p>
    <w:p>
      <w:pPr>
        <w:pStyle w:val="ListNumber"/>
      </w:pPr>
      <w:r>
        <w:t>3. AASM. "International Classification of Sleep Disorders, Third Edition (ICSD-3)." 2014.</w:t>
      </w:r>
    </w:p>
    <w:p>
      <w:pPr>
        <w:pStyle w:val="ListNumber"/>
      </w:pPr>
      <w:r>
        <w:t>4. Burnier M, Egan BM. "Adherence in Hypertension." Circ Res. 2019;124(7):1124-1140.</w:t>
      </w:r>
    </w:p>
    <w:p>
      <w:pPr>
        <w:pStyle w:val="ListNumber"/>
      </w:pPr>
      <w:r>
        <w:t>5. Buysse DJ, et al. "The Pittsburgh Sleep Quality Index." Psychiatry Res. 1989;28(2):193-213.</w:t>
      </w:r>
    </w:p>
    <w:p>
      <w:pPr>
        <w:pStyle w:val="ListNumber"/>
      </w:pPr>
      <w:r>
        <w:t>6. Chalmers JA, et al. "Anxiety Disorders are Associated with Reduced HRV." Front Psychiatry. 2014;5:80.</w:t>
      </w:r>
    </w:p>
    <w:p>
      <w:pPr>
        <w:pStyle w:val="ListNumber"/>
      </w:pPr>
      <w:r>
        <w:t>7. Elia M. "The MUST Report." BAPEN. 2003.</w:t>
      </w:r>
    </w:p>
    <w:p>
      <w:pPr>
        <w:pStyle w:val="ListNumber"/>
      </w:pPr>
      <w:r>
        <w:t>8. Fried LP, et al. "Frailty in Older Adults." J Gerontol A. 2001;56(3):M146-M156.</w:t>
      </w:r>
    </w:p>
    <w:p>
      <w:pPr>
        <w:pStyle w:val="ListNumber"/>
      </w:pPr>
      <w:r>
        <w:t>9. Garber JR, et al. "Clinical Practice Guidelines for Hypothyroidism." ATA/AACE. 2012.</w:t>
      </w:r>
    </w:p>
    <w:p>
      <w:pPr>
        <w:pStyle w:val="ListNumber"/>
      </w:pPr>
      <w:r>
        <w:t>10. Grundy SM, et al. "2018 AHA/ACC Guideline on Blood Cholesterol." Circulation. 2019.</w:t>
      </w:r>
    </w:p>
    <w:p>
      <w:pPr>
        <w:pStyle w:val="ListNumber"/>
      </w:pPr>
      <w:r>
        <w:t>11. Heidenreich PA, et al. "2022 AHA/ACC/HFSA Guideline for Heart Failure." Circulation. 2022.</w:t>
      </w:r>
    </w:p>
    <w:p>
      <w:pPr>
        <w:pStyle w:val="ListNumber"/>
      </w:pPr>
      <w:r>
        <w:t>12. KDIGO. "Clinical Practice Guideline for CKD." 2024.</w:t>
      </w:r>
    </w:p>
    <w:p>
      <w:pPr>
        <w:pStyle w:val="ListNumber"/>
      </w:pPr>
      <w:r>
        <w:t>13. Kroenke K, et al. "The PHQ-2." Med Care. 2003;41(11):1284-1292.</w:t>
      </w:r>
    </w:p>
    <w:p>
      <w:pPr>
        <w:pStyle w:val="ListNumber"/>
      </w:pPr>
      <w:r>
        <w:t>14. Kroenke K, et al. "Anxiety disorders in primary care." Ann Intern Med. 2007;146(5):317-325.</w:t>
      </w:r>
    </w:p>
    <w:p>
      <w:pPr>
        <w:pStyle w:val="ListNumber"/>
      </w:pPr>
      <w:r>
        <w:t>15. Kroenke K, et al. "The PHQ-9." J Gen Intern Med. 2001;16(9):606-613.</w:t>
      </w:r>
    </w:p>
    <w:p>
      <w:pPr>
        <w:pStyle w:val="ListNumber"/>
      </w:pPr>
      <w:r>
        <w:t>16. Li C, et al. "Validity of PHQ-2 in older people." JAGS. 2007;55(4):596-602.</w:t>
      </w:r>
    </w:p>
    <w:p>
      <w:pPr>
        <w:pStyle w:val="ListNumber"/>
      </w:pPr>
      <w:r>
        <w:t>17. Liebermeister C. "Handbuch der Pathologie und Therapie des Fiebers." 1875.</w:t>
      </w:r>
    </w:p>
    <w:p>
      <w:pPr>
        <w:pStyle w:val="ListNumber"/>
      </w:pPr>
      <w:r>
        <w:t>18. Löwe B, et al. "Detecting and monitoring depression with PHQ-2." J Psychosom Res. 2005.</w:t>
      </w:r>
    </w:p>
    <w:p>
      <w:pPr>
        <w:pStyle w:val="ListNumber"/>
      </w:pPr>
      <w:r>
        <w:t>19. Mackowiak PA, et al. "A Critical Appraisal of 98.6°F." JAMA. 1992;268(12):1578-1580.</w:t>
      </w:r>
    </w:p>
    <w:p>
      <w:pPr>
        <w:pStyle w:val="ListNumber"/>
      </w:pPr>
      <w:r>
        <w:t>20. Mander BA, et al. "Sleep and Human Aging." Neuron. 2017;94(1):19-36.</w:t>
      </w:r>
    </w:p>
    <w:p>
      <w:pPr>
        <w:pStyle w:val="ListNumber"/>
      </w:pPr>
      <w:r>
        <w:t>21. Mishra T, et al. "Pre-symptomatic detection of COVID-19 from smartwatch data." Nat Biomed Eng. 2020;4:1208-1220.</w:t>
      </w:r>
    </w:p>
    <w:p>
      <w:pPr>
        <w:pStyle w:val="ListNumber"/>
      </w:pPr>
      <w:r>
        <w:t>22. NICE CG32. "Nutrition support for adults." 2006.</w:t>
      </w:r>
    </w:p>
    <w:p>
      <w:pPr>
        <w:pStyle w:val="ListNumber"/>
      </w:pPr>
      <w:r>
        <w:t>23. NICE NG51. "Sepsis: recognition, diagnosis and early management."</w:t>
      </w:r>
    </w:p>
    <w:p>
      <w:pPr>
        <w:pStyle w:val="ListNumber"/>
      </w:pPr>
      <w:r>
        <w:t>24. O'Driscoll BR, et al. "BTS Guideline for Oxygen Use." Thorax. 2017;72(Suppl 1):ii1-ii90.</w:t>
      </w:r>
    </w:p>
    <w:p>
      <w:pPr>
        <w:pStyle w:val="ListNumber"/>
      </w:pPr>
      <w:r>
        <w:t>25. Radin JM, et al. "Harnessing wearable device data for ILI surveillance." Lancet Digit Health. 2020.</w:t>
      </w:r>
    </w:p>
    <w:p>
      <w:pPr>
        <w:pStyle w:val="ListNumber"/>
      </w:pPr>
      <w:r>
        <w:t>26. Ross DS, et al. "2016 ATA Guidelines for Hyperthyroidism." Thyroid. 2016;26(10):1343-1421.</w:t>
      </w:r>
    </w:p>
    <w:p>
      <w:pPr>
        <w:pStyle w:val="ListNumber"/>
      </w:pPr>
      <w:r>
        <w:t>27. Shi L, et al. "Sleep disturbances increase dementia risk." Sleep Med Rev. 2018;40:4-16.</w:t>
      </w:r>
    </w:p>
    <w:p>
      <w:pPr>
        <w:pStyle w:val="ListNumber"/>
      </w:pPr>
      <w:r>
        <w:t>28. Tudor-Locke C, et al. "How many steps/day are enough?" Int J Behav Nutr Phys Act. 2011;8:80.</w:t>
      </w:r>
    </w:p>
    <w:p>
      <w:pPr>
        <w:pStyle w:val="ListNumber"/>
      </w:pPr>
      <w:r>
        <w:t>29. Whelton PK, et al. "2017 ACC/AHA Guideline for High Blood Pressure." Hypertension. 2018;71(6):e13-e115.</w:t>
      </w:r>
    </w:p>
    <w:p>
      <w:pPr>
        <w:pStyle w:val="ListNumber"/>
      </w:pPr>
      <w:r>
        <w:t>30. WHO. "Haemoglobin concentrations for diagnosis of anaemia." 2011. WHO/NMH/NHD/MNM/11.1.</w:t>
      </w:r>
    </w:p>
    <w:p>
      <w:pPr>
        <w:pStyle w:val="ListNumber"/>
      </w:pPr>
      <w:r>
        <w:t>31. Aarsand AK, Fernandez-Calle P, et al. "The EuBIVAS." Clin Chem. 2018;64(9):1380-1393.</w:t>
      </w:r>
    </w:p>
    <w:p>
      <w:pPr>
        <w:pStyle w:val="ListNumber"/>
      </w:pPr>
      <w:r>
        <w:t>32. Ricos C, Alvarez V, et al. "Current databases on biological variation." Scand J Clin Lab Invest. 1999;59(7):491-500.</w:t>
      </w:r>
    </w:p>
    <w:p>
      <w:pPr>
        <w:pStyle w:val="ListNumber"/>
      </w:pPr>
      <w:r>
        <w:t>33. Fraser CG. "Biological Variation: From Principles to Practice." AACC Press, 2001.</w:t>
      </w:r>
    </w:p>
    <w:p>
      <w:pPr>
        <w:pStyle w:val="ListNumber"/>
      </w:pPr>
      <w:r>
        <w:t>34. Fraser CG. "Reference change values." Clin Chem Lab Med. 2012;50(5):807-812.</w:t>
      </w:r>
    </w:p>
    <w:p>
      <w:pPr>
        <w:pStyle w:val="ListNumber"/>
      </w:pPr>
      <w:r>
        <w:t>35. Fraser CG, Harris EK. "Generation and application of data on biological variation." Crit Rev Clin Lab Sci. 1989;27(5):409-437.</w:t>
      </w:r>
    </w:p>
    <w:p>
      <w:pPr>
        <w:pStyle w:val="ListNumber"/>
      </w:pPr>
      <w:r>
        <w:t>36. CLSI. "Defining, Establishing, and Verifying Reference Intervals." EP28-A3c. 2010.</w:t>
      </w:r>
    </w:p>
    <w:p>
      <w:pPr>
        <w:pStyle w:val="ListNumber"/>
      </w:pPr>
      <w:r>
        <w:t>37. EFLM Biological Variation Database. https://biologicalvariation.eu/ (Accessed June 2026).</w:t>
      </w:r>
    </w:p>
    <w:p>
      <w:pPr>
        <w:pStyle w:val="ListNumber"/>
      </w:pPr>
      <w:r>
        <w:t>38. Levey AS, et al. "A New Equation to Estimate GFR." Ann Intern Med. 2009;150(9):604-612.</w:t>
      </w:r>
    </w:p>
    <w:p>
      <w:pPr>
        <w:pStyle w:val="ListNumber"/>
      </w:pPr>
      <w:r>
        <w:rPr>
          <w:rFonts w:ascii="Calibri" w:hAnsi="Calibri"/>
          <w:sz w:val="20"/>
        </w:rPr>
        <w:t>39. Royal College of Physicians. "National Early Warning Score (NEWS) 2." London: RCP, 2017.</w:t>
      </w:r>
    </w:p>
    <w:p>
      <w:pPr>
        <w:pStyle w:val="ListNumber"/>
      </w:pPr>
      <w:r>
        <w:rPr>
          <w:rFonts w:ascii="Calibri" w:hAnsi="Calibri"/>
          <w:sz w:val="20"/>
        </w:rPr>
        <w:t>40. Cretikos MA, et al. "Respiratory rate: the neglected vital sign." Med J Aust. 2008;188(11):657-659.</w:t>
      </w:r>
    </w:p>
    <w:p>
      <w:pPr>
        <w:pStyle w:val="ListNumber"/>
      </w:pPr>
      <w:r>
        <w:rPr>
          <w:rFonts w:ascii="Calibri" w:hAnsi="Calibri"/>
          <w:sz w:val="20"/>
        </w:rPr>
        <w:t>41. Churpek MM, et al. "Multicenter Comparison of ML Methods for Predicting Clinical Deterioration on the Wards." Crit Care Med. 2016;44(2):368-374.</w:t>
      </w:r>
    </w:p>
    <w:p>
      <w:pPr>
        <w:pStyle w:val="ListNumber"/>
      </w:pPr>
      <w:r>
        <w:rPr>
          <w:rFonts w:ascii="Calibri" w:hAnsi="Calibri"/>
          <w:sz w:val="20"/>
        </w:rPr>
        <w:t>42. Breteler MJM, et al. "Reliability of wireless monitoring using a wearable patch sensor in high-risk surgical patients." J Clin Monit Comput. 2020;34:415-424.</w:t>
      </w:r>
    </w:p>
    <w:p>
      <w:pPr>
        <w:pStyle w:val="Heading1"/>
      </w:pPr>
      <w:r>
        <w:t>10. Appendix: Version 3.2 Rule Additions</w:t>
      </w:r>
    </w:p>
    <w:p>
      <w:r>
        <w:t>The following 9 rules were added in Version 3.2, expanding Tier 1 and Tier 2 capabilities to cover advanced sleep metrics, mobility decline, early infection detection, and nocturnal hypoglycemia.</w:t>
      </w:r>
    </w:p>
    <w:p>
      <w:pPr>
        <w:pStyle w:val="Heading2"/>
      </w:pPr>
      <w:r>
        <w:t>10.1 High Sleep Fragmentation</w:t>
      </w:r>
    </w:p>
    <w:p>
      <w:r>
        <w:rPr>
          <w:b/>
        </w:rPr>
        <w:t xml:space="preserve">Rule ID: </w:t>
      </w:r>
      <w:r>
        <w:t xml:space="preserve">sleep_fragmentation  |  </w:t>
      </w:r>
      <w:r>
        <w:rPr>
          <w:b/>
        </w:rPr>
        <w:t xml:space="preserve">Tier: </w:t>
      </w:r>
      <w:r>
        <w:t xml:space="preserve">Tier 1  |  </w:t>
      </w:r>
      <w:r>
        <w:rPr>
          <w:b/>
        </w:rPr>
        <w:t xml:space="preserve">Category: </w:t>
      </w:r>
      <w:r>
        <w:t xml:space="preserve">General  |  </w:t>
      </w:r>
      <w:r>
        <w:rPr>
          <w:b/>
        </w:rPr>
        <w:t xml:space="preserve">Evidence: </w:t>
      </w:r>
      <w:r>
        <w:t>Strong</w:t>
      </w:r>
    </w:p>
    <w:p>
      <w:r>
        <w:t>Detects high sleep fragmentation (WASO - Wake After Sleep Onset). High sleep fragmentation and frequent nighttime awakenings are strongly associated with impaired physical performance, daytime cognitive fatigue, and a significantly elevated risk of falls in older adults.</w:t>
      </w:r>
    </w:p>
    <w:p>
      <w:r>
        <w:rPr>
          <w:b/>
        </w:rPr>
        <w:t>Thresholds:</w:t>
      </w:r>
    </w:p>
    <w:p>
      <w:pPr>
        <w:pStyle w:val="ListBullet"/>
      </w:pPr>
      <w:r>
        <w:t>Fragmented Hours (Stage 1 + Stage 3) &gt; 1.5 hours: MEDIUM severity</w:t>
      </w:r>
    </w:p>
    <w:p>
      <w:r>
        <w:rPr>
          <w:b/>
        </w:rPr>
        <w:t>Clinical Citations:</w:t>
      </w:r>
    </w:p>
    <w:p>
      <w:pPr>
        <w:pStyle w:val="ListBullet"/>
      </w:pPr>
      <w:r>
        <w:t>Stone KL, et al. (2013). "Sleep Disturbances and Increased Risk of Falls in Older Community-Dwelling Men." JAGS.</w:t>
      </w:r>
    </w:p>
    <w:p>
      <w:pPr>
        <w:pStyle w:val="ListBullet"/>
      </w:pPr>
      <w:r>
        <w:t>Peirano P, et al. (2024). "Sleep/wake patterns and physical performance in older adults." Aging Clinical and Experimental Research.</w:t>
      </w:r>
    </w:p>
    <w:p>
      <w:r>
        <w:rPr>
          <w:b/>
        </w:rPr>
        <w:t xml:space="preserve">Data Requirements: </w:t>
      </w:r>
      <w:r>
        <w:t>Detailed sleep stage data (Stage 1 and 3).</w:t>
      </w:r>
    </w:p>
    <w:p>
      <w:pPr>
        <w:pStyle w:val="Heading2"/>
      </w:pPr>
      <w:r>
        <w:t>10.2 Low Restorative (Deep) Sleep</w:t>
      </w:r>
    </w:p>
    <w:p>
      <w:r>
        <w:rPr>
          <w:b/>
        </w:rPr>
        <w:t xml:space="preserve">Rule ID: </w:t>
      </w:r>
      <w:r>
        <w:t xml:space="preserve">low_deep_sleep  |  </w:t>
      </w:r>
      <w:r>
        <w:rPr>
          <w:b/>
        </w:rPr>
        <w:t xml:space="preserve">Tier: </w:t>
      </w:r>
      <w:r>
        <w:t xml:space="preserve">Tier 1  |  </w:t>
      </w:r>
      <w:r>
        <w:rPr>
          <w:b/>
        </w:rPr>
        <w:t xml:space="preserve">Category: </w:t>
      </w:r>
      <w:r>
        <w:t xml:space="preserve">General  |  </w:t>
      </w:r>
      <w:r>
        <w:rPr>
          <w:b/>
        </w:rPr>
        <w:t xml:space="preserve">Evidence: </w:t>
      </w:r>
      <w:r>
        <w:t>Strong</w:t>
      </w:r>
    </w:p>
    <w:p>
      <w:r>
        <w:t>Detects critically low levels of Deep (Slow-Wave) Sleep. Slow-wave sleep (SWS) is essential for glucose homeostasis. Selective suppression of SWS directly leads to decreased insulin sensitivity and impaired glucose tolerance.</w:t>
      </w:r>
    </w:p>
    <w:p>
      <w:r>
        <w:rPr>
          <w:b/>
        </w:rPr>
        <w:t>Thresholds:</w:t>
      </w:r>
    </w:p>
    <w:p>
      <w:pPr>
        <w:pStyle w:val="ListBullet"/>
      </w:pPr>
      <w:r>
        <w:t>Deep sleep &lt; 45 mins: LOW severity</w:t>
      </w:r>
    </w:p>
    <w:p>
      <w:r>
        <w:rPr>
          <w:b/>
        </w:rPr>
        <w:t>Clinical Citations:</w:t>
      </w:r>
    </w:p>
    <w:p>
      <w:pPr>
        <w:pStyle w:val="ListBullet"/>
      </w:pPr>
      <w:r>
        <w:t>Tasali E, et al. (2008). "Slow-wave sleep and the risk of type 2 diabetes in humans." PNAS 105(3):1044-1049.</w:t>
      </w:r>
    </w:p>
    <w:p>
      <w:r>
        <w:rPr>
          <w:b/>
        </w:rPr>
        <w:t xml:space="preserve">Data Requirements: </w:t>
      </w:r>
      <w:r>
        <w:t>Deep sleep stage data.</w:t>
      </w:r>
    </w:p>
    <w:p>
      <w:pPr>
        <w:pStyle w:val="Heading2"/>
      </w:pPr>
      <w:r>
        <w:t>10.3 Metabolic Risk due to Low Deep Sleep</w:t>
      </w:r>
    </w:p>
    <w:p>
      <w:r>
        <w:rPr>
          <w:b/>
        </w:rPr>
        <w:t xml:space="preserve">Rule ID: </w:t>
      </w:r>
      <w:r>
        <w:t xml:space="preserve">diabetic_sleep_metabolism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Metabolic  |  </w:t>
      </w:r>
      <w:r>
        <w:rPr>
          <w:b/>
        </w:rPr>
        <w:t xml:space="preserve">Evidence: </w:t>
      </w:r>
      <w:r>
        <w:t>Strong</w:t>
      </w:r>
    </w:p>
    <w:p>
      <w:r>
        <w:t>Cross-references deep sleep with blood glucose to predict and identify sleep-induced insulin resistance.</w:t>
      </w:r>
    </w:p>
    <w:p>
      <w:r>
        <w:rPr>
          <w:b/>
        </w:rPr>
        <w:t>Thresholds:</w:t>
      </w:r>
    </w:p>
    <w:p>
      <w:pPr>
        <w:pStyle w:val="ListBullet"/>
      </w:pPr>
      <w:r>
        <w:t>Deep sleep &lt; 45 mins AND morning glucose &gt; 130 mg/dL: MEDIUM severity</w:t>
      </w:r>
    </w:p>
    <w:p>
      <w:pPr>
        <w:pStyle w:val="ListBullet"/>
      </w:pPr>
      <w:r>
        <w:t>Deep sleep &lt; 45 mins AND no glucose spike: LOW severity (predictive)</w:t>
      </w:r>
    </w:p>
    <w:p>
      <w:r>
        <w:rPr>
          <w:b/>
        </w:rPr>
        <w:t>Clinical Citations:</w:t>
      </w:r>
    </w:p>
    <w:p>
      <w:pPr>
        <w:pStyle w:val="ListBullet"/>
      </w:pPr>
      <w:r>
        <w:t>Tasali E, et al. (2008). "Slow-wave sleep and the risk of type 2 diabetes in humans." PNAS.</w:t>
      </w:r>
    </w:p>
    <w:p>
      <w:r>
        <w:rPr>
          <w:b/>
        </w:rPr>
        <w:t xml:space="preserve">Data Requirements: </w:t>
      </w:r>
      <w:r>
        <w:t>Deep sleep stage data, optional blood glucose.</w:t>
      </w:r>
    </w:p>
    <w:p>
      <w:pPr>
        <w:pStyle w:val="Heading2"/>
      </w:pPr>
      <w:r>
        <w:t>10.4 Sleep Apnea Risk (Cardiopulmonary)</w:t>
      </w:r>
    </w:p>
    <w:p>
      <w:r>
        <w:rPr>
          <w:b/>
        </w:rPr>
        <w:t xml:space="preserve">Rule ID: </w:t>
      </w:r>
      <w:r>
        <w:t xml:space="preserve">obstructive_sleep_apnea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Cardiac  |  </w:t>
      </w:r>
      <w:r>
        <w:rPr>
          <w:b/>
        </w:rPr>
        <w:t xml:space="preserve">Evidence: </w:t>
      </w:r>
      <w:r>
        <w:t>Strong</w:t>
      </w:r>
    </w:p>
    <w:p>
      <w:r>
        <w:t>Detects Obstructive Sleep Apnea (OSA) risk by correlating SpO2 drops with respiratory rate fluctuations during sleep.</w:t>
      </w:r>
    </w:p>
    <w:p>
      <w:r>
        <w:rPr>
          <w:b/>
        </w:rPr>
        <w:t>Thresholds:</w:t>
      </w:r>
    </w:p>
    <w:p>
      <w:pPr>
        <w:pStyle w:val="ListBullet"/>
      </w:pPr>
      <w:r>
        <w:t>Minimum SpO2 &lt; 92% AND (Respiratory Rate &gt; 20 OR Snoring Events &gt; 5): HIGH severity</w:t>
      </w:r>
    </w:p>
    <w:p>
      <w:pPr>
        <w:pStyle w:val="ListBullet"/>
      </w:pPr>
      <w:r>
        <w:t>Minimum SpO2 &lt; 92% alone: MEDIUM severity</w:t>
      </w:r>
    </w:p>
    <w:p>
      <w:r>
        <w:rPr>
          <w:b/>
        </w:rPr>
        <w:t>Clinical Citations:</w:t>
      </w:r>
    </w:p>
    <w:p>
      <w:pPr>
        <w:pStyle w:val="ListBullet"/>
      </w:pPr>
      <w:r>
        <w:t>Yaggi HK, et al. (2005). "Obstructive sleep apnea as a risk factor for stroke and death." NEJM.</w:t>
      </w:r>
    </w:p>
    <w:p>
      <w:pPr>
        <w:pStyle w:val="ListBullet"/>
      </w:pPr>
      <w:r>
        <w:t>Nakano et al. 2014 (Sleep)</w:t>
      </w:r>
    </w:p>
    <w:p>
      <w:r>
        <w:rPr>
          <w:b/>
        </w:rPr>
        <w:t xml:space="preserve">Data Requirements: </w:t>
      </w:r>
      <w:r>
        <w:t>Minimum SpO2 data, respiratory rate, snoring events.</w:t>
      </w:r>
    </w:p>
    <w:p>
      <w:pPr>
        <w:pStyle w:val="Heading2"/>
      </w:pPr>
      <w:r>
        <w:t>10.5 Early Infection Warning</w:t>
      </w:r>
    </w:p>
    <w:p>
      <w:r>
        <w:rPr>
          <w:b/>
        </w:rPr>
        <w:t xml:space="preserve">Rule ID: </w:t>
      </w:r>
      <w:r>
        <w:t xml:space="preserve">early_infection_prediction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General  |  </w:t>
      </w:r>
      <w:r>
        <w:rPr>
          <w:b/>
        </w:rPr>
        <w:t xml:space="preserve">Evidence: </w:t>
      </w:r>
      <w:r>
        <w:t>Strong</w:t>
      </w:r>
    </w:p>
    <w:p>
      <w:r>
        <w:t>Predicts early infection (e.g., UTI, pneumonia) 24-48 hours before symptoms by tracking elevations in resting heart rate and body temperature.</w:t>
      </w:r>
    </w:p>
    <w:p>
      <w:r>
        <w:rPr>
          <w:b/>
        </w:rPr>
        <w:t>Thresholds:</w:t>
      </w:r>
    </w:p>
    <w:p>
      <w:pPr>
        <w:pStyle w:val="ListBullet"/>
      </w:pPr>
      <w:r>
        <w:t>Resting HR &gt; baseline + 7 bpm AND Body Temp &gt; 37.5°C AND Cough Count &gt; 10: HIGH severity</w:t>
      </w:r>
    </w:p>
    <w:p>
      <w:pPr>
        <w:pStyle w:val="ListBullet"/>
      </w:pPr>
      <w:r>
        <w:t>Resting HR &gt; baseline + 7 bpm AND Body Temp &gt; 37.5°C: MEDIUM severity</w:t>
      </w:r>
    </w:p>
    <w:p>
      <w:r>
        <w:rPr>
          <w:b/>
        </w:rPr>
        <w:t>Clinical Citations:</w:t>
      </w:r>
    </w:p>
    <w:p>
      <w:pPr>
        <w:pStyle w:val="ListBullet"/>
      </w:pPr>
      <w:r>
        <w:t>Radin JM, et al. (2020). "Infection detection from wearable sensor data." The Lancet Digital Health.</w:t>
      </w:r>
    </w:p>
    <w:p>
      <w:r>
        <w:rPr>
          <w:b/>
        </w:rPr>
        <w:t xml:space="preserve">Data Requirements: </w:t>
      </w:r>
      <w:r>
        <w:t>Resting HR baseline, body temperature, cough count.</w:t>
      </w:r>
    </w:p>
    <w:p>
      <w:pPr>
        <w:pStyle w:val="Heading2"/>
      </w:pPr>
      <w:r>
        <w:t>10.6 Frailty and Mobility Decline</w:t>
      </w:r>
    </w:p>
    <w:p>
      <w:r>
        <w:rPr>
          <w:b/>
        </w:rPr>
        <w:t xml:space="preserve">Rule ID: </w:t>
      </w:r>
      <w:r>
        <w:t xml:space="preserve">frailty_mobility_decline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General  |  </w:t>
      </w:r>
      <w:r>
        <w:rPr>
          <w:b/>
        </w:rPr>
        <w:t xml:space="preserve">Evidence: </w:t>
      </w:r>
      <w:r>
        <w:t>Strong</w:t>
      </w:r>
    </w:p>
    <w:p>
      <w:r>
        <w:t>Tracks gait speed as the "Sixth Vital Sign" to detect frailty.</w:t>
      </w:r>
    </w:p>
    <w:p>
      <w:r>
        <w:rPr>
          <w:b/>
        </w:rPr>
        <w:t>Thresholds:</w:t>
      </w:r>
    </w:p>
    <w:p>
      <w:pPr>
        <w:pStyle w:val="ListBullet"/>
      </w:pPr>
      <w:r>
        <w:t>Walking speed &lt; 0.8 m/s AND Sit-to-Stand &gt; 15s: HIGH severity</w:t>
      </w:r>
    </w:p>
    <w:p>
      <w:pPr>
        <w:pStyle w:val="ListBullet"/>
      </w:pPr>
      <w:r>
        <w:t>Walking speed &lt; 0.8 m/s alone: HIGH severity</w:t>
      </w:r>
    </w:p>
    <w:p>
      <w:r>
        <w:rPr>
          <w:b/>
        </w:rPr>
        <w:t>Clinical Citations:</w:t>
      </w:r>
    </w:p>
    <w:p>
      <w:pPr>
        <w:pStyle w:val="ListBullet"/>
      </w:pPr>
      <w:r>
        <w:t>Studenski S, et al. (2011). "Gait speed and survival in older adults." JAMA.</w:t>
      </w:r>
    </w:p>
    <w:p>
      <w:pPr>
        <w:pStyle w:val="ListBullet"/>
      </w:pPr>
      <w:r>
        <w:t>Guralnik JM, et al. (1994). NEJM.</w:t>
      </w:r>
    </w:p>
    <w:p>
      <w:r>
        <w:rPr>
          <w:b/>
        </w:rPr>
        <w:t xml:space="preserve">Data Requirements: </w:t>
      </w:r>
      <w:r>
        <w:t>Walking speed, sit-to-stand transition time.</w:t>
      </w:r>
    </w:p>
    <w:p>
      <w:pPr>
        <w:pStyle w:val="Heading2"/>
      </w:pPr>
      <w:r>
        <w:t>10.7 Heart Failure Exacerbation (Exercise Intolerance)</w:t>
      </w:r>
    </w:p>
    <w:p>
      <w:r>
        <w:rPr>
          <w:b/>
        </w:rPr>
        <w:t xml:space="preserve">Rule ID: </w:t>
      </w:r>
      <w:r>
        <w:t xml:space="preserve">wearable_heart_failure_exacerbation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Cardiac  |  </w:t>
      </w:r>
      <w:r>
        <w:rPr>
          <w:b/>
        </w:rPr>
        <w:t xml:space="preserve">Evidence: </w:t>
      </w:r>
      <w:r>
        <w:t>Strong</w:t>
      </w:r>
    </w:p>
    <w:p>
      <w:r>
        <w:t>Detects heart failure exacerbation through the exercise intolerance triad: decreasing steps + increasing resting HR.</w:t>
      </w:r>
    </w:p>
    <w:p>
      <w:r>
        <w:rPr>
          <w:b/>
        </w:rPr>
        <w:t>Thresholds:</w:t>
      </w:r>
    </w:p>
    <w:p>
      <w:pPr>
        <w:pStyle w:val="ListBullet"/>
      </w:pPr>
      <w:r>
        <w:t>Step 3-day trend &lt;= -15% AND RHR 3-day trend increase &gt;= 5 bpm: HIGH severity</w:t>
      </w:r>
    </w:p>
    <w:p>
      <w:r>
        <w:rPr>
          <w:b/>
        </w:rPr>
        <w:t>Clinical Citations:</w:t>
      </w:r>
    </w:p>
    <w:p>
      <w:pPr>
        <w:pStyle w:val="ListBullet"/>
      </w:pPr>
      <w:r>
        <w:t>Stehlik J, et al. (2020). "Continuous wearable monitoring analytics predict heart failure hospitalization." Circulation: Heart Failure.</w:t>
      </w:r>
    </w:p>
    <w:p>
      <w:r>
        <w:rPr>
          <w:b/>
        </w:rPr>
        <w:t xml:space="preserve">Data Requirements: </w:t>
      </w:r>
      <w:r>
        <w:t>Steps (3+ days history), Resting HR (3+ days history).</w:t>
      </w:r>
    </w:p>
    <w:p>
      <w:pPr>
        <w:pStyle w:val="Heading2"/>
      </w:pPr>
      <w:r>
        <w:t>10.8 Nocturnal Hypoglycemia Risk</w:t>
      </w:r>
    </w:p>
    <w:p>
      <w:r>
        <w:rPr>
          <w:b/>
        </w:rPr>
        <w:t xml:space="preserve">Rule ID: </w:t>
      </w:r>
      <w:r>
        <w:t xml:space="preserve">nocturnal_hypoglycemia_tachycardia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Metabolic  |  </w:t>
      </w:r>
      <w:r>
        <w:rPr>
          <w:b/>
        </w:rPr>
        <w:t xml:space="preserve">Evidence: </w:t>
      </w:r>
      <w:r>
        <w:t>Strong</w:t>
      </w:r>
    </w:p>
    <w:p>
      <w:r>
        <w:t>Detects severe nocturnal hypoglycemia via adrenaline dumps (tachycardia) during sleep.</w:t>
      </w:r>
    </w:p>
    <w:p>
      <w:r>
        <w:rPr>
          <w:b/>
        </w:rPr>
        <w:t>Thresholds:</w:t>
      </w:r>
    </w:p>
    <w:p>
      <w:pPr>
        <w:pStyle w:val="ListBullet"/>
      </w:pPr>
      <w:r>
        <w:t>Sleep Max HR &gt;= 110 bpm AND Morning Glucose &lt; 80 mg/dL: HIGH severity</w:t>
      </w:r>
    </w:p>
    <w:p>
      <w:pPr>
        <w:pStyle w:val="ListBullet"/>
      </w:pPr>
      <w:r>
        <w:t>Sleep Max HR &gt;= 110 bpm alone: MEDIUM severity</w:t>
      </w:r>
    </w:p>
    <w:p>
      <w:r>
        <w:rPr>
          <w:b/>
        </w:rPr>
        <w:t>Clinical Citations:</w:t>
      </w:r>
    </w:p>
    <w:p>
      <w:pPr>
        <w:pStyle w:val="ListBullet"/>
      </w:pPr>
      <w:r>
        <w:t>Sejling AS, et al. (2014). "Hypoglycemia-induced changes in the electroencephalogram." Diabetes Technology &amp; Therapeutics.</w:t>
      </w:r>
    </w:p>
    <w:p>
      <w:r>
        <w:rPr>
          <w:b/>
        </w:rPr>
        <w:t xml:space="preserve">Data Requirements: </w:t>
      </w:r>
      <w:r>
        <w:t>Sleep Max HR, Morning Glucose.</w:t>
      </w:r>
    </w:p>
    <w:p>
      <w:pPr>
        <w:pStyle w:val="Heading2"/>
      </w:pPr>
      <w:r>
        <w:t>10.9 Poor Sleep Environment</w:t>
      </w:r>
    </w:p>
    <w:p>
      <w:r>
        <w:rPr>
          <w:b/>
        </w:rPr>
        <w:t xml:space="preserve">Rule ID: </w:t>
      </w:r>
      <w:r>
        <w:t xml:space="preserve">nocturnal_environmental_disruption  |  </w:t>
      </w:r>
      <w:r>
        <w:rPr>
          <w:b/>
        </w:rPr>
        <w:t xml:space="preserve">Tier: </w:t>
      </w:r>
      <w:r>
        <w:t xml:space="preserve">Tier 2  |  </w:t>
      </w:r>
      <w:r>
        <w:rPr>
          <w:b/>
        </w:rPr>
        <w:t xml:space="preserve">Category: </w:t>
      </w:r>
      <w:r>
        <w:t xml:space="preserve">General  |  </w:t>
      </w:r>
      <w:r>
        <w:rPr>
          <w:b/>
        </w:rPr>
        <w:t xml:space="preserve">Evidence: </w:t>
      </w:r>
      <w:r>
        <w:t>Strong</w:t>
      </w:r>
    </w:p>
    <w:p>
      <w:r>
        <w:t>Detects environmental disruptions to sleep using phone light sensors.</w:t>
      </w:r>
    </w:p>
    <w:p>
      <w:r>
        <w:rPr>
          <w:b/>
        </w:rPr>
        <w:t>Thresholds:</w:t>
      </w:r>
    </w:p>
    <w:p>
      <w:pPr>
        <w:pStyle w:val="ListBullet"/>
      </w:pPr>
      <w:r>
        <w:t>Ambient Light &gt; 50 lux AND Sleep Efficiency &lt; 80%: MEDIUM severity</w:t>
      </w:r>
    </w:p>
    <w:p>
      <w:r>
        <w:rPr>
          <w:b/>
        </w:rPr>
        <w:t>Clinical Citations:</w:t>
      </w:r>
    </w:p>
    <w:p>
      <w:pPr>
        <w:pStyle w:val="ListBullet"/>
      </w:pPr>
      <w:r>
        <w:t>Cho JR, et al. (2013). "Effects of artificial light at night on human health and sleep." Sleep Medicine.</w:t>
      </w:r>
    </w:p>
    <w:p>
      <w:r>
        <w:rPr>
          <w:b/>
        </w:rPr>
        <w:t xml:space="preserve">Data Requirements: </w:t>
      </w:r>
      <w:r>
        <w:t>Ambient light, Sleep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