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76"/>
          <w:sz w:val="56"/>
        </w:rPr>
        <w:t>Zivaa Health Profile System</w:t>
      </w:r>
    </w:p>
    <w:p>
      <w:pPr>
        <w:jc w:val="center"/>
      </w:pPr>
      <w:r>
        <w:rPr>
          <w:color w:val="4A4A4A"/>
          <w:sz w:val="32"/>
        </w:rPr>
        <w:t>Architecture, Logic &amp; Differentiation from the Rules Engine</w:t>
      </w:r>
    </w:p>
    <w:p/>
    <w:p>
      <w:pPr>
        <w:jc w:val="center"/>
      </w:pPr>
      <w:r>
        <w:rPr>
          <w:color w:val="808080"/>
          <w:sz w:val="24"/>
        </w:rPr>
        <w:t>Zivaa Eldercare Platform</w:t>
        <w:br/>
        <w:t>June 2026</w:t>
        <w:br/>
        <w:t>Internal Technical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Executive Summary</w:t>
      </w:r>
    </w:p>
    <w:p>
      <w:pPr>
        <w:spacing w:after="40"/>
      </w:pPr>
      <w:r>
        <w:rPr>
          <w:sz w:val="22"/>
        </w:rPr>
        <w:t>2. System Architecture</w:t>
      </w:r>
    </w:p>
    <w:p>
      <w:pPr>
        <w:spacing w:after="40"/>
      </w:pPr>
      <w:r>
        <w:rPr>
          <w:sz w:val="22"/>
        </w:rPr>
        <w:t>3. The Two Systems: Rules Engine vs Health Profile</w:t>
      </w:r>
    </w:p>
    <w:p>
      <w:pPr>
        <w:spacing w:after="40"/>
      </w:pPr>
      <w:r>
        <w:rPr>
          <w:sz w:val="22"/>
        </w:rPr>
        <w:t>4. Rules Engine — Deep Dive</w:t>
      </w:r>
    </w:p>
    <w:p>
      <w:pPr>
        <w:spacing w:after="40"/>
      </w:pPr>
      <w:r>
        <w:rPr>
          <w:sz w:val="22"/>
        </w:rPr>
        <w:t>5. Health Profile — Deep Dive</w:t>
      </w:r>
    </w:p>
    <w:p>
      <w:pPr>
        <w:spacing w:after="40"/>
      </w:pPr>
      <w:r>
        <w:rPr>
          <w:sz w:val="22"/>
        </w:rPr>
        <w:t>6. How They Work Together</w:t>
      </w:r>
    </w:p>
    <w:p>
      <w:pPr>
        <w:spacing w:after="40"/>
      </w:pPr>
      <w:r>
        <w:rPr>
          <w:sz w:val="22"/>
        </w:rPr>
        <w:t>7. Data Flow</w:t>
      </w:r>
    </w:p>
    <w:p>
      <w:pPr>
        <w:spacing w:after="40"/>
      </w:pPr>
      <w:r>
        <w:rPr>
          <w:sz w:val="22"/>
        </w:rPr>
        <w:t>8. Domain Assessments</w:t>
      </w:r>
    </w:p>
    <w:p>
      <w:pPr>
        <w:spacing w:after="40"/>
      </w:pPr>
      <w:r>
        <w:rPr>
          <w:sz w:val="22"/>
        </w:rPr>
        <w:t>9. Derived Scores</w:t>
      </w:r>
    </w:p>
    <w:p>
      <w:pPr>
        <w:spacing w:after="40"/>
      </w:pPr>
      <w:r>
        <w:rPr>
          <w:sz w:val="22"/>
        </w:rPr>
        <w:t>10. Strengths Detection</w:t>
      </w:r>
    </w:p>
    <w:p>
      <w:pPr>
        <w:spacing w:after="40"/>
      </w:pPr>
      <w:r>
        <w:rPr>
          <w:sz w:val="22"/>
        </w:rPr>
        <w:t>11. Clinical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Zivaa backend contains two complementary clinical intelligence systems that serve fundamentally different purposes but share a single source of clinical truth:</w:t>
      </w:r>
    </w:p>
    <w:p>
      <w:pPr>
        <w:pStyle w:val="ListBullet"/>
      </w:pPr>
      <w:r>
        <w:t>• The Rules Engine is a real-time alert system. It evaluates 18 clinical rules across 3 tiers and ONLY fires when a clinically actionable threshold is breached. It is the "smoke detector" — silent when things are fine, loud when something is wrong.</w:t>
      </w:r>
    </w:p>
    <w:p>
      <w:pPr>
        <w:pStyle w:val="ListBullet"/>
      </w:pPr>
      <w:r>
        <w:t>• The Health Profile is a comprehensive state portrait. It always produces output — strengths, concerns, derived scores, and trajectory. It is the "home inspection report" — a complete picture of the person's health, good and bad.</w:t>
      </w:r>
    </w:p>
    <w:p>
      <w:r>
        <w:t>Critically, the Health Profile does NOT re-implement clinical logic. It CONSUMES the Rules Engine output as its source of clinical concerns, then adds the dimensions that the Rules Engine doesn't provide: strengths, derived scores, demographics, trajectory, and data completeness.</w:t>
      </w:r>
    </w:p>
    <w:p>
      <w:pPr>
        <w:pStyle w:val="Heading1"/>
      </w:pPr>
      <w:r>
        <w:t>2. System Architecture</w:t>
      </w:r>
    </w:p>
    <w:p>
      <w:r>
        <w:t>The architecture follows a clear data flow where the Rules Engine feeds into the Health Profile, not the other way around:</w:t>
      </w:r>
    </w:p>
    <w:p/>
    <w:p>
      <w:r>
        <w:rPr>
          <w:rFonts w:ascii="Consolas" w:hAnsi="Consolas"/>
          <w:sz w:val="18"/>
        </w:rPr>
        <w:t>┌─────────────────────┐     ┌──────────────────────────┐</w:t>
        <w:br/>
        <w:t>│   Rules Engine      │────▶│     Health Profile       │</w:t>
        <w:br/>
        <w:t>│   (18 rules,        │     │                          │</w:t>
        <w:br/>
        <w:t>│    Tier 1/2/3)      │     │  + Demographics          │</w:t>
        <w:br/>
        <w:t>└─────────────────────┘     │  + Strengths Detection   │</w:t>
        <w:br/>
        <w:t xml:space="preserve">                            │  + Derived Scores        │</w:t>
        <w:br/>
        <w:t>┌─────────────────────┐     │  + Overall Trajectory    │</w:t>
        <w:br/>
        <w:t>│   Lab Trends        │────▶│  + Data Completeness     │</w:t>
        <w:br/>
        <w:t>│   (RCV-based)       │     │                          │</w:t>
        <w:br/>
        <w:t>└─────────────────────┘     └──────────────────────────┘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┌──────────────────────────┐</w:t>
        <w:br/>
        <w:t xml:space="preserve">                            │  LLM Daily Plan /        │</w:t>
        <w:br/>
        <w:t xml:space="preserve">                            │  Caregiver Dashboard /   │</w:t>
        <w:br/>
        <w:t xml:space="preserve">                            │  Risk Triage             │</w:t>
        <w:br/>
        <w:t xml:space="preserve">                            └──────────────────────────┘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3. The Two Systems: Rules Engine vs Health Profile</w:t>
      </w:r>
    </w:p>
    <w:p>
      <w:r>
        <w:t>The following table summarises the fundamental differences between the two systems: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Rules Engine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Health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 Answered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"What's wrong RIGHT NOW?"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"Who is this person, health-wise?"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When It Speaks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when a threshold is breached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 — every call produces a full portrait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Alerts (actionable nudges)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 (strengths + concerns + scores)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Covers Good Things?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Never — only fires on problems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"sleep is good", "HbA1c excellent"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Derived Scores?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just pass/fail per rule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CV risk, glycemic grade, renal stage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Demographics?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Doesn't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age, gender, conditions, polypharmacy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Trend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Personal baseline z-scores + RCV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Multi-metric trajectory across all domains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Clinical Rigour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DOIs + guideline 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Consumes rules engine output (inherits rigour)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Who Consumes 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Nudge engine → user notification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context, caregiver dashboard, triage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Smoke detector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 inspection report</w:t>
            </w:r>
          </w:p>
        </w:tc>
      </w:tr>
    </w:tbl>
    <w:p/>
    <w:p>
      <w:r>
        <w:t>Key principle: The Health Profile NEVER re-implements thresholds that the Rules Engine already covers. There is ONE source of truth for clinical logic.</w:t>
      </w:r>
    </w:p>
    <w:p>
      <w:r>
        <w:br w:type="page"/>
      </w:r>
    </w:p>
    <w:p>
      <w:pPr>
        <w:pStyle w:val="Heading1"/>
      </w:pPr>
      <w:r>
        <w:t>4. Rules Engine — Deep Dive</w:t>
      </w:r>
    </w:p>
    <w:p>
      <w:pPr>
        <w:pStyle w:val="Heading2"/>
      </w:pPr>
      <w:r>
        <w:t>4.1 Rule Tiers</w:t>
      </w:r>
    </w:p>
    <w:p>
      <w:r>
        <w:t>The 18 rules are organised into 3 tiers based on data source and clinical urgency: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1 — Vitals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Connect sensors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(daily evaluation)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2 — Sensors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Cross-correlated wearable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evaluation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3 — Labs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Lab reports + RCV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lab upload</w:t>
            </w:r>
          </w:p>
        </w:tc>
      </w:tr>
    </w:tbl>
    <w:p>
      <w:pPr>
        <w:pStyle w:val="Heading2"/>
      </w:pPr>
      <w:r>
        <w:t>4.2 Complete Rule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Primary Citation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Trigger Logic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Hypertension Escalation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CARDIAC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ACC/AHA 2017 §8.1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BP ≥130 + rising 3d trend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Functional Decline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Tudor-Locke 2011, Fried Frailty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Steps &lt;1000 + baseline z-score &gt;2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Acute Illness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Mishra et al. 2020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HR elevated + activity crash simultaneously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Medication Non-Adherence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WHO 2003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Adherence &lt;80% over 7 days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Glycemic Risk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METABOLIC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ADA 2024 §6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Glucose &gt;180 or &lt;70 mg/dL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Respiratory Distress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RESPIRATORY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BTS 2017 Table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SpO2 &lt;94% (non-COPD)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Heart Failure Decompensation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CARDIAC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ESC 2021 §11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 gain + HR + activity decline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Fever / Infection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NICE NG51, Liebermeister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Temp &gt;37.5°C + HR response + activity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Nutritional Risk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NUTRITION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MUST Tool (BAPEN)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 loss + intake markers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Tachypnea (NEWS)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RESPIRATORY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NEWS2 (RCP 2017)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Resp rate 21-24 = score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Depression/Withdrawal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MENTAL_HEALTH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PHQ-2 (Kroenke 2003)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Mood &lt;3 + activity + sleep decline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Anxiety/Agitation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MENTAL_HEALTH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GAD-2 framework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HR variability + mood + sleep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Sleep Disturbance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MENTAL_HEALTH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NSF, Huang 2020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Sleep &lt;5h or variability SD &gt;1.5h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Emotional Wellbeing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MENTAL_HEALTH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Non-validated scale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Mood declining trend over 7d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Pre-Diabetes Progression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METABOLIC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ADA 2024 §2 Table 2.3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HbA1c ≥5.7% + RCV-confirmed rise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Kidney Decline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KDIGO 2012 §2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eGFR declining + RCV threshold exceeded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Anemia Detection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HEMATOLOGY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WHO 2011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Hb &lt;13 M/&lt;12 F + RCV-confirmed decline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Thyroid Dysfunction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THYROID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ATA/AACE 2012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TSH out of range + RCV-confirmed trend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Cardiovascular Risk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CARDIAC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ACC/AHA, 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LDL + CRP + lipid panel cross-analysis</w:t>
            </w:r>
          </w:p>
        </w:tc>
      </w:tr>
    </w:tbl>
    <w:p>
      <w:pPr>
        <w:pStyle w:val="Heading2"/>
      </w:pPr>
      <w:r>
        <w:t>4.3 Clinical Rigour Features</w:t>
      </w:r>
    </w:p>
    <w:p>
      <w:pPr>
        <w:pStyle w:val="Heading3"/>
      </w:pPr>
      <w:r>
        <w:t>Personal Baselines (z-scores)</w:t>
      </w:r>
    </w:p>
    <w:p>
      <w:r>
        <w:t>Every vital sign is compared against the patient's OWN established baseline, not population averages. If Ranjit's resting HR baseline is 65 bpm, then 73 bpm produces a z-score of 2.4 — a statistically significant deviation for HIM, even though 73 is "normal" for the general population.</w:t>
      </w:r>
    </w:p>
    <w:p>
      <w:pPr>
        <w:pStyle w:val="Heading3"/>
      </w:pPr>
      <w:r>
        <w:t>Reference Change Value (RCV)</w:t>
      </w:r>
    </w:p>
    <w:p>
      <w:r>
        <w:t>Lab results use RCV from EFLM biological variation data to distinguish real clinical change from normal biological noise. For example: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RCV Threshold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Biological Variation (CVi)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Analytical Variation (CVa)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HbA1c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eGFR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53.9%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Hemoglobin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LDL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3.0%</w:t>
            </w:r>
          </w:p>
        </w:tc>
      </w:tr>
    </w:tbl>
    <w:p>
      <w:r>
        <w:t>A lab value must change by MORE than the RCV threshold to be considered a real trend. This prevents false alerts from normal day-to-day biological fluctuation.</w:t>
      </w:r>
    </w:p>
    <w:p>
      <w:pPr>
        <w:pStyle w:val="Heading3"/>
      </w:pPr>
      <w:r>
        <w:t>Cross-Correlation</w:t>
      </w:r>
    </w:p>
    <w:p>
      <w:r>
        <w:t>Rules don't evaluate metrics in isolation. For example, the Acute Illness Rule (Tier 1) requires BOTH elevated HR AND activity crash simultaneously — neither alone triggers it. The Fever/Infection Rule checks temperature, the Liebermeister HR response, AND reduced activity before firing.</w:t>
      </w:r>
    </w:p>
    <w:p>
      <w:r>
        <w:br w:type="page"/>
      </w:r>
    </w:p>
    <w:p>
      <w:pPr>
        <w:pStyle w:val="Heading1"/>
      </w:pPr>
      <w:r>
        <w:t>5. Health Profile — Deep Dive</w:t>
      </w:r>
    </w:p>
    <w:p>
      <w:pPr>
        <w:pStyle w:val="Heading2"/>
      </w:pPr>
      <w:r>
        <w:t>5.1 What the Profile Adds (Beyond Rules Engine)</w:t>
      </w:r>
    </w:p>
    <w:p>
      <w:r>
        <w:t>The Health Profile provides five capabilities that the Rules Engine does not:</w:t>
      </w:r>
    </w:p>
    <w:p>
      <w:pPr>
        <w:pStyle w:val="ListNumber"/>
      </w:pPr>
      <w:r>
        <w:rPr>
          <w:b/>
        </w:rPr>
        <w:t>Strengths Detection</w:t>
      </w:r>
    </w:p>
    <w:p>
      <w:pPr>
        <w:pStyle w:val="ListBullet"/>
      </w:pPr>
      <w:r>
        <w:t>The rules engine only fires on problems. The Health Profile identifies what's GOOD: "Heart rate well controlled (71 bpm)", "HbA1c 6.4% — ADA target met", "Consistent sleep schedule". This is critical for caregiver morale and LLM context.</w:t>
      </w:r>
    </w:p>
    <w:p>
      <w:pPr>
        <w:pStyle w:val="ListNumber"/>
      </w:pPr>
      <w:r>
        <w:rPr>
          <w:b/>
        </w:rPr>
        <w:t>Derived Scores</w:t>
      </w:r>
    </w:p>
    <w:p>
      <w:pPr>
        <w:pStyle w:val="ListBullet"/>
      </w:pPr>
      <w:r>
        <w:t>Composite scores that synthesise multiple data points into a single grade: CV Risk Score (0-100, Framingham-inspired), Glycemic Grade (ADA A-D), Renal Stage (KDIGO G1-G5), Mobility Classification (Tudor-Locke), Sleep Quality Grade (NSF).</w:t>
      </w:r>
    </w:p>
    <w:p>
      <w:pPr>
        <w:pStyle w:val="ListNumber"/>
      </w:pPr>
      <w:r>
        <w:rPr>
          <w:b/>
        </w:rPr>
        <w:t>Demographics &amp; Context</w:t>
      </w:r>
    </w:p>
    <w:p>
      <w:pPr>
        <w:pStyle w:val="ListBullet"/>
      </w:pPr>
      <w:r>
        <w:t>Age, gender, blood group, location, active conditions list, medication names, polypharmacy flag (Masnoon et al. BMC Geriatrics 2017: ≥5 medications).</w:t>
      </w:r>
    </w:p>
    <w:p>
      <w:pPr>
        <w:pStyle w:val="ListNumber"/>
      </w:pPr>
      <w:r>
        <w:rPr>
          <w:b/>
        </w:rPr>
        <w:t>Overall Trajectory</w:t>
      </w:r>
    </w:p>
    <w:p>
      <w:pPr>
        <w:pStyle w:val="ListBullet"/>
      </w:pPr>
      <w:r>
        <w:t>Multi-metric comparison of recent 7 days vs oldest 7 days across BP, steps, sleep, glucose, mood, and SpO2. Produces a direction (improving/stable/declining) with a confidence score (0-1).</w:t>
      </w:r>
    </w:p>
    <w:p>
      <w:pPr>
        <w:pStyle w:val="ListNumber"/>
      </w:pPr>
      <w:r>
        <w:rPr>
          <w:b/>
        </w:rPr>
        <w:t>Data Completeness</w:t>
      </w:r>
    </w:p>
    <w:p>
      <w:pPr>
        <w:pStyle w:val="ListBullet"/>
      </w:pPr>
      <w:r>
        <w:t>Measures how much of the possible data we actually have (vitals, labs, meds, conditions, BP, glucose, SpO2, sleep, steps, mood). Returns a percentage.</w:t>
      </w:r>
    </w:p>
    <w:p>
      <w:pPr>
        <w:pStyle w:val="Heading2"/>
      </w:pPr>
      <w:r>
        <w:t>5.2 Domain Structure</w:t>
      </w:r>
    </w:p>
    <w:p>
      <w:r>
        <w:t>The profile organises all findings into clinical domains. Each domain contains: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Strengths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Profile-exclusive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findings (healthy metrics, adequate labs)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Rules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Triggered alerts with full clinical messages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Rule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Rules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alert objects with tier, severity, 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 Trends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RCV-based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Biomarker trends with zone and clinical flag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Computed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Highest severity from rule alerts in the domain</w:t>
            </w:r>
          </w:p>
        </w:tc>
      </w:tr>
    </w:tbl>
    <w:p>
      <w:pPr>
        <w:pStyle w:val="Heading2"/>
      </w:pPr>
      <w:r>
        <w:t>5.3 The 11 Health Domains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Rule Categories Mapped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Biomarkers Mapped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Cardiovascular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CARDIAC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LDL, HDL, TOTAL_CHOL, TRIGLYCERIDES, CRP, ESR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Metabolic / Diabetes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METABOLIC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HBA1C, FBS, PPBS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Renal 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EGFR, CREATININE, BUN, URIC_ACID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Respiratory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RESPIRATORY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Nutritional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HEMATOLOGY, NUTRITION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HEMOGLOBIN, FERRITIN, VITAMIN_D, B12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Mental Wellbeing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MENTAL_HEALTH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Thyroid &amp; Endocrine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THYROID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WBC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Physical Activity &amp; Mobility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Sleep &amp; Recovery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Medication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6. How They Work Together</w:t>
      </w:r>
    </w:p>
    <w:p>
      <w:pPr>
        <w:pStyle w:val="Heading2"/>
      </w:pPr>
      <w:r>
        <w:t>6.1 Execution Flow</w:t>
      </w:r>
    </w:p>
    <w:p>
      <w:r>
        <w:rPr>
          <w:b/>
        </w:rPr>
        <w:t xml:space="preserve">Step 1: Run Rules Engine: </w:t>
      </w:r>
      <w:r>
        <w:t>The Health Profile calls engine.evaluate_patient(patient_id). This runs all 18 rules against the patient's data context (vitals, labs, baselines). Returns a list of triggered InsightResult objects and skipped rules.</w:t>
      </w:r>
    </w:p>
    <w:p>
      <w:r>
        <w:rPr>
          <w:b/>
        </w:rPr>
        <w:t xml:space="preserve">Step 2: Run Lab Trends: </w:t>
      </w:r>
      <w:r>
        <w:t>Calls get_patient_lab_trends(patient_id) to get RCV-based trend analysis for all biomarkers. Returns trend direction, zone, clinical flag, and rate per month.</w:t>
      </w:r>
    </w:p>
    <w:p>
      <w:r>
        <w:rPr>
          <w:b/>
        </w:rPr>
        <w:t xml:space="preserve">Step 3: Fetch Demographics: </w:t>
      </w:r>
      <w:r>
        <w:t>Queries Supabase for patient demographics, conditions, medications, adherence logs, and 60 days of vitals.</w:t>
      </w:r>
    </w:p>
    <w:p>
      <w:r>
        <w:rPr>
          <w:b/>
        </w:rPr>
        <w:t xml:space="preserve">Step 4: Group by Domain: </w:t>
      </w:r>
      <w:r>
        <w:t>Rule alerts are grouped into Health Profile domains using a category-to-domain mapping. Lab trend flags are grouped by biomarker-to-domain mapping.</w:t>
      </w:r>
    </w:p>
    <w:p>
      <w:r>
        <w:rPr>
          <w:b/>
        </w:rPr>
        <w:t xml:space="preserve">Step 5: Derive Strengths: </w:t>
      </w:r>
      <w:r>
        <w:t>Scans vitals and labs for POSITIVE signals using simple reference ranges. These are things the rules engine never produces.</w:t>
      </w:r>
    </w:p>
    <w:p>
      <w:r>
        <w:rPr>
          <w:b/>
        </w:rPr>
        <w:t xml:space="preserve">Step 6: Compute Derived Scores: </w:t>
      </w:r>
      <w:r>
        <w:t>Calculates CV Risk Score, Glycemic Grade, Renal Stage, Mobility Class, Sleep Grade, and Overall Trajectory.</w:t>
      </w:r>
    </w:p>
    <w:p>
      <w:r>
        <w:rPr>
          <w:b/>
        </w:rPr>
        <w:t xml:space="preserve">Step 7: Assemble Profile: </w:t>
      </w:r>
      <w:r>
        <w:t>Combines everything into a HealthProfile object with domains sorted by risk level (highest first).</w:t>
      </w:r>
    </w:p>
    <w:p>
      <w:pPr>
        <w:pStyle w:val="Heading2"/>
      </w:pPr>
      <w:r>
        <w:t>6.2 The "No Duplication" Principle</w:t>
      </w:r>
    </w:p>
    <w:p>
      <w:r>
        <w:t>Before the refactoring (v1), the Health Profile had its own BP classification function (_classify_bp), its own glucose thresholds, and its own lab trend logic. This created two sources of truth — the rules engine might say "BP is Stage 2 Hypertension" while the profile said "BP is Elevated".</w:t>
      </w:r>
    </w:p>
    <w:p>
      <w:r>
        <w:t>In v2, the Health Profile ONLY uses the rules engine for clinical concerns. The profile's own code handles ONLY what the rules engine doesn't provide: strengths, derived scores, demographics, trajectory, and data completeness. There is now exactly ONE place where each clinical threshold lives.</w:t>
      </w:r>
    </w:p>
    <w:p>
      <w:r>
        <w:br w:type="page"/>
      </w:r>
    </w:p>
    <w:p>
      <w:pPr>
        <w:pStyle w:val="Heading1"/>
      </w:pPr>
      <w:r>
        <w:t>7. Data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Used By Rules Engine?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Used By Health Profile?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 demographics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age, gender, blood group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 conditions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(context)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conditions list, comorbidity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Daily vitals (60d)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vitals_daily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primary trigger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strengths + trajectory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Lab 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lab_results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Tier 3 rules + RCV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derived scores + strengths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 baselines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patient_baselines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z-score computation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— consumed via rules engine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 medications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(adherence rule)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polypharmacy, med names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Medication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medication_logs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(adherence 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adherence strength/concern</w:t>
            </w:r>
          </w:p>
        </w:tc>
      </w:tr>
    </w:tbl>
    <w:p>
      <w:r>
        <w:br w:type="page"/>
      </w:r>
    </w:p>
    <w:p>
      <w:pPr>
        <w:pStyle w:val="Heading1"/>
      </w:pPr>
      <w:r>
        <w:t>8. Domain Assessments — Example (Ranjit Sharma)</w:t>
      </w:r>
    </w:p>
    <w:p>
      <w:r>
        <w:t>The following shows a real output for patient Ranjit Sharma (72M, Pune) demonstrating how rules engine alerts and profile-derived strengths combine in each domain.</w:t>
      </w:r>
    </w:p>
    <w:p>
      <w:pPr>
        <w:pStyle w:val="Heading2"/>
      </w:pPr>
      <w:r>
        <w:t>Cardiovascular Domain</w:t>
      </w:r>
    </w:p>
    <w:p>
      <w:r>
        <w:t>Risk Level: MODERATE</w:t>
      </w:r>
    </w:p>
    <w:p>
      <w:r>
        <w:t>Strengths (Profile-exclusive):</w:t>
      </w:r>
    </w:p>
    <w:p>
      <w:pPr>
        <w:pStyle w:val="ListBullet"/>
      </w:pPr>
      <w:r>
        <w:t>Heart rate well controlled (71 bpm)</w:t>
      </w:r>
    </w:p>
    <w:p>
      <w:pPr>
        <w:pStyle w:val="ListBullet"/>
      </w:pPr>
      <w:r>
        <w:t>Blood pressure in healthy range (129/80)</w:t>
      </w:r>
    </w:p>
    <w:p>
      <w:r>
        <w:t>Concerns (from Rules Engine): No direct rule alerts — but 6 lab trend flags (RCV-based):</w:t>
      </w:r>
    </w:p>
    <w:p>
      <w:pPr>
        <w:pStyle w:val="ListBullet"/>
      </w:pPr>
      <w:r>
        <w:t>LDL: Rising, above range → Worsening</w:t>
      </w:r>
    </w:p>
    <w:p>
      <w:pPr>
        <w:pStyle w:val="ListBullet"/>
      </w:pPr>
      <w:r>
        <w:t>HDL: Declining, below range → Worsening</w:t>
      </w:r>
    </w:p>
    <w:p>
      <w:pPr>
        <w:pStyle w:val="ListBullet"/>
      </w:pPr>
      <w:r>
        <w:t>CRP: Rising, above range → Worsening (inflammatory CV risk)</w:t>
      </w:r>
    </w:p>
    <w:p>
      <w:pPr>
        <w:pStyle w:val="Heading2"/>
      </w:pPr>
      <w:r>
        <w:t>Renal Function Domain</w:t>
      </w:r>
    </w:p>
    <w:p>
      <w:r>
        <w:t>Risk Level: HIGH</w:t>
      </w:r>
    </w:p>
    <w:p>
      <w:r>
        <w:t>Concerns (from Rules Engine):</w:t>
      </w:r>
    </w:p>
    <w:p>
      <w:pPr>
        <w:pStyle w:val="ListBullet"/>
      </w:pPr>
      <w:r>
        <w:t>KidneyDeclineRule (Tier 3): eGFR declining 78→58 mL/min (RCV-confirmed, -25.6%, threshold 14.7%). CKD Stage G3a progression. KDIGO 2012 referral criteria met.</w:t>
      </w:r>
    </w:p>
    <w:p>
      <w:pPr>
        <w:pStyle w:val="ListBullet"/>
      </w:pPr>
      <w:r>
        <w:t>Lab Trends: EGFR worsening, CREATININE worsening, BUN rising, URIC_ACID above range</w:t>
      </w:r>
    </w:p>
    <w:p>
      <w:r>
        <w:br w:type="page"/>
      </w:r>
    </w:p>
    <w:p>
      <w:pPr>
        <w:pStyle w:val="Heading1"/>
      </w:pPr>
      <w:r>
        <w:t>9. Derived Scores — Methodology</w:t>
      </w:r>
    </w:p>
    <w:p>
      <w:r>
        <w:t>These scores are profile-exclusive. The rules engine does not compute them.</w:t>
      </w:r>
    </w:p>
    <w:p>
      <w:pPr>
        <w:pStyle w:val="Heading2"/>
      </w:pPr>
      <w:r>
        <w:t>9.1 Cardiovascular Risk Score (0-100)</w:t>
      </w:r>
    </w:p>
    <w:p>
      <w:r>
        <w:t>Inspired by the Framingham Risk Score (D'Agostino et al. Circulation 2008). NOT a validated clinical tool — used for internal risk stratification only.</w:t>
      </w:r>
    </w:p>
    <w:p>
      <w:r>
        <w:t>Factors and weights: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 (per year over 40)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+0.8/yr (max 30)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Framingham age weighting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Male 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Framingham sex adjustment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BP &gt;140 systolic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ACC/AHA Stage 2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BP 130-140 systolic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ACC/AHA Stage 1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LDL &gt;130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ATP III 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LDL 100-130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ATP III borderline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HDL ≥60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-5 (protective)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Framingham HDL factor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HDL &lt;40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 HDL risk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 diabetes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Framingham diabetes factor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CRP &gt;3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JUPITER trial (Ridker 2008)</w:t>
            </w:r>
          </w:p>
        </w:tc>
      </w:tr>
    </w:tbl>
    <w:p>
      <w:pPr>
        <w:pStyle w:val="Heading2"/>
      </w:pPr>
      <w:r>
        <w:t>9.2 Glycemic Control Grade</w:t>
      </w:r>
    </w:p>
    <w:p>
      <w:r>
        <w:t>Based on ADA Standards of Care 2024, §2 Table 2.3: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HbA1c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 — 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&lt;5.7%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diabetes/pre-diabetes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 — Excellent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5.7-6.4%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Pre-diabetes range, well managed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 — Good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6.5-6.9%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 target met for most adults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 — Fair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7.0-7.9%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Above ADA target, medication review needed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 — Poor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≥8.0%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complication risk, urgent intervention</w:t>
            </w:r>
          </w:p>
        </w:tc>
      </w:tr>
    </w:tbl>
    <w:p>
      <w:pPr>
        <w:pStyle w:val="Heading2"/>
      </w:pPr>
      <w:r>
        <w:t>9.3 Renal Function Stage</w:t>
      </w:r>
    </w:p>
    <w:p>
      <w:r>
        <w:t>Based on KDIGO 2012 Clinical Practice Guidelines, §2: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eGFR (mL/min)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or 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60-89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Mildly decreased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G3a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45-59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Mild-to-moderate decrease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G3b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30-44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Moderate-to-severe decrease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Severely decreased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Kidney failure</w:t>
            </w:r>
          </w:p>
        </w:tc>
      </w:tr>
    </w:tbl>
    <w:p>
      <w:pPr>
        <w:pStyle w:val="Heading2"/>
      </w:pPr>
      <w:r>
        <w:t>9.4 Mobility Classification</w:t>
      </w:r>
    </w:p>
    <w:p>
      <w:r>
        <w:t>Based on Tudor-Locke et al. (Int J Behav Nutr Phys Act 2011):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Steps/Day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Clinical Significance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≥7,500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Exceeds CDC guidelines for older adults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5,000-7,499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Meets minimum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Limited but functional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3,000-4,999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Below target but ambulatory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Sedentary — high fall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1,500-2,999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Functional decline likely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Very sedentary — immediate concern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Immobility, high fall risk</w:t>
            </w:r>
          </w:p>
        </w:tc>
      </w:tr>
    </w:tbl>
    <w:p>
      <w:pPr>
        <w:pStyle w:val="Heading2"/>
      </w:pPr>
      <w:r>
        <w:t>9.5 Sleep Quality Grade</w:t>
      </w:r>
    </w:p>
    <w:p>
      <w:r>
        <w:t>Based on National Sleep Foundation recommendations for adults 65+: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Hours/Night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7-9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NSF recommended range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6-7 or 9-10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Slightly outside optimal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 or &gt;10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Linked to cognitive decline, CV risk</w:t>
            </w:r>
          </w:p>
        </w:tc>
      </w:tr>
    </w:tbl>
    <w:p>
      <w:r>
        <w:br w:type="page"/>
      </w:r>
    </w:p>
    <w:p>
      <w:pPr>
        <w:pStyle w:val="Heading1"/>
      </w:pPr>
      <w:r>
        <w:t>10. Strengths Detection</w:t>
      </w:r>
    </w:p>
    <w:p>
      <w:r>
        <w:t>Strengths detection is the Health Profile's unique contribution. The Rules Engine NEVER reports positive findings — it only fires on problems. The Profile scans vitals, labs, and medication data for signals that indicate the patient is doing WELL.</w:t>
      </w:r>
    </w:p>
    <w:p>
      <w:pPr>
        <w:pStyle w:val="Heading2"/>
      </w:pPr>
      <w:r>
        <w:t>10.1 Vital Sign Strengths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Healthy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Strength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Heart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55-80 bpm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"Heart rate well controlled (71 bpm)"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Blood Pressure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&lt;130/80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"Blood pressure in healthy range (129/80)"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"Oxygen saturation healthy (96.7%)"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Glucose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80-130 mg/dL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"Daily glucose well controlled (124 mg/dL)"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≥3,000/day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"Good daily movement (4,200 steps/day)"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Sleep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7-9 hrs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"Healthy sleep duration (7.5 hrs)"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Sleep consistency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SD &lt;0.8 hrs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"Consistent sleep schedule"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≥4/5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"Good overall mood (4.2/5)"</w:t>
            </w:r>
          </w:p>
        </w:tc>
      </w:tr>
    </w:tbl>
    <w:p>
      <w:pPr>
        <w:pStyle w:val="Heading2"/>
      </w:pPr>
      <w:r>
        <w:t>10.2 Lab Strengths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Adequate Threshold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HbA1c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 2024 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eGFR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≥90 mL/min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KDIGO G1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≥40 mg/dL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ATP III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Vitamin 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≥30 ng/mL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Endocrine Society 2011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Hemoglobin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≥12 g/dL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 2011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0.4-4.0 mIU/L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ATA 2016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Vitamin B12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≥200 pg/mL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Hunt et al.</w:t>
            </w:r>
          </w:p>
        </w:tc>
      </w:tr>
    </w:tbl>
    <w:p>
      <w:pPr>
        <w:pStyle w:val="Heading2"/>
      </w:pPr>
      <w:r>
        <w:t>10.3 Medication &amp; Weight Strengths</w:t>
      </w:r>
    </w:p>
    <w:p>
      <w:pPr>
        <w:pStyle w:val="ListBullet"/>
      </w:pPr>
      <w:r>
        <w:t>Adherence ≥90% → "Excellent medication adherence"</w:t>
      </w:r>
    </w:p>
    <w:p>
      <w:pPr>
        <w:pStyle w:val="ListBullet"/>
      </w:pPr>
      <w:r>
        <w:t>Adherence 80-89% → "Good medication adherence"</w:t>
      </w:r>
    </w:p>
    <w:p>
      <w:pPr>
        <w:pStyle w:val="ListBullet"/>
      </w:pPr>
      <w:r>
        <w:t>Weight change &lt;3% over monitoring period → "Weight stable"</w:t>
      </w:r>
    </w:p>
    <w:p>
      <w:r>
        <w:br w:type="page"/>
      </w:r>
    </w:p>
    <w:p>
      <w:pPr>
        <w:pStyle w:val="Heading1"/>
      </w:pPr>
      <w:r>
        <w:t>11. Clinical References</w:t>
      </w:r>
    </w:p>
    <w:p>
      <w:r>
        <w:rPr>
          <w:sz w:val="18"/>
        </w:rPr>
        <w:t>[1] ACC/AHA — Whelton PK, et al. "2017 ACC/AHA Guideline for the Prevention, Detection, Evaluation, and Management of High Blood Pressure in Adults." J Am Coll Cardiol. 2018;71(19):e127-e248. DOI: 10.1016/j.jacc.2017.11.006</w:t>
      </w:r>
    </w:p>
    <w:p>
      <w:r>
        <w:rPr>
          <w:sz w:val="18"/>
        </w:rPr>
        <w:t>[2] ADA — "Standards of Care in Diabetes — 2024." Diabetes Care. 2024;47(Suppl 1). DOI: 10.2337/dc24-SINT</w:t>
      </w:r>
    </w:p>
    <w:p>
      <w:r>
        <w:rPr>
          <w:sz w:val="18"/>
        </w:rPr>
        <w:t>[3] KDIGO — "KDIGO 2012 Clinical Practice Guideline for the Evaluation and Management of Chronic Kidney Disease." Kidney Int Suppl. 2013;3:1-150.</w:t>
      </w:r>
    </w:p>
    <w:p>
      <w:r>
        <w:rPr>
          <w:sz w:val="18"/>
        </w:rPr>
        <w:t>[4] Tudor-Locke C, et al. "How many steps/day are enough? For older adults and special populations." Int J Behav Nutr Phys Act. 2011;8:80. DOI: 10.1186/1479-5868-8-80</w:t>
      </w:r>
    </w:p>
    <w:p>
      <w:r>
        <w:rPr>
          <w:sz w:val="18"/>
        </w:rPr>
        <w:t>[5] Mishra T, et al. "Pre-symptomatic detection of COVID-19 from smartwatch data." Nature Biomedical Engineering. 2020;4:1208-1220. DOI: 10.1038/s41551-020-00640-6</w:t>
      </w:r>
    </w:p>
    <w:p>
      <w:r>
        <w:rPr>
          <w:sz w:val="18"/>
        </w:rPr>
        <w:t>[6] Huang T, et al. "Sleep Irregularity and Risk of Cardiovascular Events." J Am Coll Cardiol. 2020;75(9):991-999. DOI: 10.1016/j.jacc.2019.12.054</w:t>
      </w:r>
    </w:p>
    <w:p>
      <w:r>
        <w:rPr>
          <w:sz w:val="18"/>
        </w:rPr>
        <w:t>[7] NSF — Hirshkowitz M, et al. "National Sleep Foundation's sleep time duration recommendations." Sleep Health. 2015;1(1):40-43.</w:t>
      </w:r>
    </w:p>
    <w:p>
      <w:r>
        <w:rPr>
          <w:sz w:val="18"/>
        </w:rPr>
        <w:t>[8] Kroenke K, et al. "The PHQ-2: validity of a two-item depression screener." Medical Care. 2003;41(11):1284-1292.</w:t>
      </w:r>
    </w:p>
    <w:p>
      <w:r>
        <w:rPr>
          <w:sz w:val="18"/>
        </w:rPr>
        <w:t>[9] Masnoon N, et al. "What is polypharmacy? A systematic review of definitions." BMC Geriatrics. 2017;17(1):230. DOI: 10.1186/s12877-017-0621-2</w:t>
      </w:r>
    </w:p>
    <w:p>
      <w:r>
        <w:rPr>
          <w:sz w:val="18"/>
        </w:rPr>
        <w:t>[10] D'Agostino RB, et al. "General cardiovascular risk profile for use in primary care." Circulation. 2008;117(6):743-753. DOI: 10.1161/CIRCULATIONAHA.107.699579</w:t>
      </w:r>
    </w:p>
    <w:p>
      <w:r>
        <w:rPr>
          <w:sz w:val="18"/>
        </w:rPr>
        <w:t>[11] BTS — O'Driscoll BR, et al. "BTS guideline for oxygen use in adults in healthcare and emergency settings." BMJ Open Resp Res. 2017;4:e000170.</w:t>
      </w:r>
    </w:p>
    <w:p>
      <w:r>
        <w:rPr>
          <w:sz w:val="18"/>
        </w:rPr>
        <w:t>[12] NEWS2 — Royal College of Physicians. "National Early Warning Score (NEWS) 2." 2017.</w:t>
      </w:r>
    </w:p>
    <w:p>
      <w:r>
        <w:rPr>
          <w:sz w:val="18"/>
        </w:rPr>
        <w:t>[13] NICE NG51 — "Sepsis: recognition, diagnosis and early management." NICE Guideline [NG51]. 2016.</w:t>
      </w:r>
    </w:p>
    <w:p>
      <w:r>
        <w:rPr>
          <w:sz w:val="18"/>
        </w:rPr>
        <w:t>[14] WHO — "Haemoglobin concentrations for the diagnosis of anaemia and assessment of severity." 2011. WHO/NMH/NHD/MNM/11.1</w:t>
      </w:r>
    </w:p>
    <w:p>
      <w:r>
        <w:rPr>
          <w:sz w:val="18"/>
        </w:rPr>
        <w:t>[15] ATA/AACE — Garber JR, et al. "Clinical practice guidelines for hypothyroidism in adults." Thyroid. 2012;22(12):1200-1235.</w:t>
      </w:r>
    </w:p>
    <w:p>
      <w:r>
        <w:rPr>
          <w:sz w:val="18"/>
        </w:rPr>
        <w:t>[16] Aarsand AK, et al. "The Biological Variation Data Critical Appraisal Checklist." Clin Chem. 2018;64(9):1380-1393.</w:t>
      </w:r>
    </w:p>
    <w:p>
      <w:r>
        <w:rPr>
          <w:sz w:val="18"/>
        </w:rPr>
        <w:t>[17] EFLM Biological Variation Database — https://biologicalvariation.eu/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