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AI-Powered Credit Risk Assessment</w:t>
              <w:br/>
              <w:t>for Financial Inclusion with Explainable AI</w:t>
            </w:r>
          </w:p>
        </w:tc>
      </w:tr>
    </w:tbl>
    <w:p/>
    <w:p>
      <w:pPr>
        <w:jc w:val="center"/>
      </w:pPr>
      <w:r>
        <w:rPr>
          <w:b w:val="0"/>
          <w:sz w:val="24"/>
        </w:rPr>
        <w:t>IBM SkillsBuild Data Analytics with AI Academic Internship 2026</w:t>
      </w:r>
    </w:p>
    <w:p>
      <w:pPr>
        <w:jc w:val="center"/>
      </w:pPr>
      <w:r>
        <w:rPr>
          <w:b w:val="0"/>
          <w:sz w:val="22"/>
        </w:rPr>
        <w:t>AICTE – BharatCares – IBM SkillsBuild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 w:val="0"/>
          <w:sz w:val="22"/>
        </w:rPr>
        <w:t>Submitted by:</w:t>
      </w:r>
    </w:p>
    <w:p>
      <w:pPr>
        <w:jc w:val="center"/>
      </w:pPr>
      <w:r>
        <w:rPr>
          <w:b/>
          <w:color w:val="3B82D4"/>
          <w:sz w:val="28"/>
        </w:rPr>
        <w:t>Abhinav Singh</w:t>
      </w:r>
    </w:p>
    <w:p>
      <w:pPr>
        <w:jc w:val="center"/>
      </w:pPr>
      <w:r>
        <w:rPr>
          <w:b w:val="0"/>
          <w:sz w:val="22"/>
        </w:rPr>
        <w:t>Satyug Darshan Institute of Engineering and Technology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4"/>
        </w:rPr>
        <w:t>Internship ID: IBMUEDA3522</w:t>
      </w:r>
    </w:p>
    <w:p>
      <w:pPr>
        <w:jc w:val="center"/>
      </w:pPr>
      <w:r>
        <w:rPr>
          <w:b w:val="0"/>
          <w:sz w:val="22"/>
        </w:rPr>
        <w:t>Duration: 17 Aug 2026 – 30 Sept 2026</w:t>
      </w:r>
    </w:p>
    <w:p>
      <w:pPr>
        <w:jc w:val="center"/>
      </w:pPr>
      <w:r>
        <w:rPr>
          <w:b w:val="0"/>
          <w:sz w:val="22"/>
        </w:rPr>
        <w:t>Report Date: September 24, 2026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SDG 1 · SDG 8 · SDG 10</w:t>
      </w:r>
    </w:p>
    <w:p>
      <w:r>
        <w:br w:type="page"/>
      </w:r>
    </w:p>
    <w:p>
      <w:pPr>
        <w:pStyle w:val="Heading1"/>
      </w:pPr>
      <w:r>
        <w:rPr>
          <w:b/>
          <w:color w:val="1E3A5F"/>
        </w:rPr>
        <w:t>Executive Summary</w:t>
      </w:r>
    </w:p>
    <w:p>
      <w:pPr>
        <w:jc w:val="left"/>
      </w:pPr>
      <w:r>
        <w:rPr>
          <w:b w:val="0"/>
          <w:i w:val="0"/>
          <w:sz w:val="22"/>
        </w:rPr>
        <w:t>This report presents an industrial-grade, end-to-end AI credit-risk assessment system built for IBM SkillsBuild Academic Internship 2026. Working on the Kaggle Home Credit Default Risk dataset (307,511 loan applications, 122 features, ~11:1 class imbalance), the project delivers:</w:t>
      </w:r>
    </w:p>
    <w:p>
      <w:pPr>
        <w:pStyle w:val="ListBullet"/>
      </w:pPr>
      <w:r>
        <w:rPr>
          <w:b/>
          <w:sz w:val="22"/>
        </w:rPr>
        <w:t xml:space="preserve">Accurate prediction: </w:t>
      </w:r>
      <w:r>
        <w:rPr>
          <w:sz w:val="22"/>
        </w:rPr>
        <w:t>XGBoost classifier achieves ROC-AUC ≈ 0.785 and PR-AUC ≈ 0.328 — the most honest metric for severely imbalanced data.</w:t>
      </w:r>
    </w:p>
    <w:p>
      <w:pPr>
        <w:pStyle w:val="ListBullet"/>
      </w:pPr>
      <w:r>
        <w:rPr>
          <w:b/>
          <w:sz w:val="22"/>
        </w:rPr>
        <w:t xml:space="preserve">Explainability: </w:t>
      </w:r>
      <w:r>
        <w:rPr>
          <w:sz w:val="22"/>
        </w:rPr>
        <w:t>SHAP TreeExplainer provides both global feature importance and per-applicant local explanations in plain English.</w:t>
      </w:r>
    </w:p>
    <w:p>
      <w:pPr>
        <w:pStyle w:val="ListBullet"/>
      </w:pPr>
      <w:r>
        <w:rPr>
          <w:b/>
          <w:sz w:val="22"/>
        </w:rPr>
        <w:t xml:space="preserve">Regulatory compliance: </w:t>
      </w:r>
      <w:r>
        <w:rPr>
          <w:sz w:val="22"/>
        </w:rPr>
        <w:t>Adverse-action reason codes (top-3 SHAP factors phrased as lender decline notices) for every high-risk applicant.</w:t>
      </w:r>
    </w:p>
    <w:p>
      <w:pPr>
        <w:pStyle w:val="ListBullet"/>
      </w:pPr>
      <w:r>
        <w:rPr>
          <w:b/>
          <w:sz w:val="22"/>
        </w:rPr>
        <w:t xml:space="preserve">Fairness audit: </w:t>
      </w:r>
      <w:r>
        <w:rPr>
          <w:sz w:val="22"/>
        </w:rPr>
        <w:t>Disparate-impact check across gender and age bands tied to SDG 10, with honest limitations disclosure.</w:t>
      </w:r>
    </w:p>
    <w:p>
      <w:pPr>
        <w:pStyle w:val="ListBullet"/>
      </w:pPr>
      <w:r>
        <w:rPr>
          <w:b/>
          <w:sz w:val="22"/>
        </w:rPr>
        <w:t xml:space="preserve">Risk personas: </w:t>
      </w:r>
      <w:r>
        <w:rPr>
          <w:sz w:val="22"/>
        </w:rPr>
        <w:t>K-Means clustering produces 4–5 named borrower segments (e.g., 'Thin-File Young Earner', 'High-Leverage Repeat Borrower').</w:t>
      </w:r>
    </w:p>
    <w:p>
      <w:pPr>
        <w:pStyle w:val="ListBullet"/>
      </w:pPr>
      <w:r>
        <w:rPr>
          <w:b/>
          <w:sz w:val="22"/>
        </w:rPr>
        <w:t xml:space="preserve">Working system: </w:t>
      </w:r>
      <w:r>
        <w:rPr>
          <w:sz w:val="22"/>
        </w:rPr>
        <w:t>FastAPI REST backend (5 endpoints) + Streamlit dashboard (4 tabs: single predict, what-if sliders, batch upload, overview) — not just a notebook.</w:t>
      </w:r>
    </w:p>
    <w:p>
      <w:pPr>
        <w:pStyle w:val="ListBullet"/>
      </w:pPr>
      <w:r>
        <w:rPr>
          <w:b/>
          <w:sz w:val="22"/>
        </w:rPr>
        <w:t xml:space="preserve">Financial inclusion: </w:t>
      </w:r>
      <w:r>
        <w:rPr>
          <w:sz w:val="22"/>
        </w:rPr>
        <w:t>Directly advances SDG 1 (No Poverty), SDG 8 (Decent Work), SDG 10 (Reduced Inequalities) by scoring underserved thin-file borrowers.</w:t>
      </w:r>
    </w:p>
    <w:p>
      <w:pPr>
        <w:pBdr>
          <w:bottom w:val="single" w:sz="6" w:space="1" w:color="C0C0C0"/>
        </w:pBdr>
      </w:pPr>
    </w:p>
    <w:p>
      <w:r>
        <w:br w:type="page"/>
      </w:r>
    </w:p>
    <w:p>
      <w:pPr>
        <w:pStyle w:val="Heading1"/>
      </w:pPr>
      <w:r>
        <w:rPr>
          <w:b/>
          <w:color w:val="1E3A5F"/>
        </w:rPr>
        <w:t>Table of Contents</w:t>
      </w:r>
    </w:p>
    <w:p>
      <w:r>
        <w:rPr>
          <w:b/>
          <w:sz w:val="21"/>
        </w:rPr>
        <w:t>1. Abstract</w:t>
      </w:r>
    </w:p>
    <w:p>
      <w:r>
        <w:rPr>
          <w:b/>
          <w:sz w:val="21"/>
        </w:rPr>
        <w:t>2. Introduction &amp; Problem Statement</w:t>
      </w:r>
    </w:p>
    <w:p>
      <w:r>
        <w:rPr>
          <w:b/>
          <w:sz w:val="21"/>
        </w:rPr>
        <w:t>3. SDG Alignment</w:t>
      </w:r>
    </w:p>
    <w:p>
      <w:r>
        <w:rPr>
          <w:b/>
          <w:sz w:val="21"/>
        </w:rPr>
        <w:t>4. Dataset Description</w:t>
      </w:r>
    </w:p>
    <w:p>
      <w:r>
        <w:rPr>
          <w:b/>
          <w:sz w:val="21"/>
        </w:rPr>
        <w:t>5. Methodology</w:t>
      </w:r>
    </w:p>
    <w:p>
      <w:r>
        <w:rPr>
          <w:sz w:val="21"/>
        </w:rPr>
        <w:t xml:space="preserve">   5.1  Week 1 — Orientation &amp; Data Loading</w:t>
      </w:r>
    </w:p>
    <w:p>
      <w:r>
        <w:rPr>
          <w:sz w:val="21"/>
        </w:rPr>
        <w:t xml:space="preserve">   5.2  Week 2 — Data Cleaning, Wrangling &amp; Preprocessing</w:t>
      </w:r>
    </w:p>
    <w:p>
      <w:r>
        <w:rPr>
          <w:sz w:val="21"/>
        </w:rPr>
        <w:t xml:space="preserve">   5.3  Weeks 2–3 — Exploratory Data Analysis</w:t>
      </w:r>
    </w:p>
    <w:p>
      <w:r>
        <w:rPr>
          <w:sz w:val="21"/>
        </w:rPr>
        <w:t xml:space="preserve">   5.4  Week 3 — Regression Component</w:t>
      </w:r>
    </w:p>
    <w:p>
      <w:r>
        <w:rPr>
          <w:sz w:val="21"/>
        </w:rPr>
        <w:t xml:space="preserve">   5.5  Week 3 — Classification, Decision Tree &amp; Ensemble Comparison</w:t>
      </w:r>
    </w:p>
    <w:p>
      <w:r>
        <w:rPr>
          <w:sz w:val="21"/>
        </w:rPr>
        <w:t xml:space="preserve">   5.6  Week 4 — Unsupervised Learning &amp; Clustering</w:t>
      </w:r>
    </w:p>
    <w:p>
      <w:r>
        <w:rPr>
          <w:sz w:val="21"/>
        </w:rPr>
        <w:t xml:space="preserve">   5.7  Weeks 4–5 — Explainable AI &amp; Responsible AI Audit</w:t>
      </w:r>
    </w:p>
    <w:p>
      <w:r>
        <w:rPr>
          <w:b/>
          <w:sz w:val="21"/>
        </w:rPr>
        <w:t>6. Results</w:t>
      </w:r>
    </w:p>
    <w:p>
      <w:r>
        <w:rPr>
          <w:b/>
          <w:sz w:val="21"/>
        </w:rPr>
        <w:t>7. Business Impact &amp; ROI Estimate</w:t>
      </w:r>
    </w:p>
    <w:p>
      <w:r>
        <w:rPr>
          <w:b/>
          <w:sz w:val="21"/>
        </w:rPr>
        <w:t>8. Explainable AI Findings</w:t>
      </w:r>
    </w:p>
    <w:p>
      <w:r>
        <w:rPr>
          <w:b/>
          <w:sz w:val="21"/>
        </w:rPr>
        <w:t>9. Responsible AI / Fairness Findings</w:t>
      </w:r>
    </w:p>
    <w:p>
      <w:r>
        <w:rPr>
          <w:b/>
          <w:sz w:val="21"/>
        </w:rPr>
        <w:t>10. Borrower Cluster Insights</w:t>
      </w:r>
    </w:p>
    <w:p>
      <w:r>
        <w:rPr>
          <w:b/>
          <w:sz w:val="21"/>
        </w:rPr>
        <w:t>11. System Architecture &amp; Interactive Dashboard</w:t>
      </w:r>
    </w:p>
    <w:p>
      <w:r>
        <w:rPr>
          <w:b/>
          <w:sz w:val="21"/>
        </w:rPr>
        <w:t>12. Conclusion &amp; Future Scope</w:t>
      </w:r>
    </w:p>
    <w:p>
      <w:r>
        <w:rPr>
          <w:b/>
          <w:sz w:val="21"/>
        </w:rPr>
        <w:t>Appendix A — Model Card</w:t>
      </w:r>
    </w:p>
    <w:p>
      <w:r>
        <w:rPr>
          <w:b/>
          <w:sz w:val="21"/>
        </w:rPr>
        <w:t>References</w:t>
      </w:r>
    </w:p>
    <w:p>
      <w:r>
        <w:br w:type="page"/>
      </w:r>
    </w:p>
    <w:p>
      <w:pPr>
        <w:pStyle w:val="Heading1"/>
      </w:pPr>
      <w:r>
        <w:rPr>
          <w:b/>
          <w:color w:val="1E3A5F"/>
        </w:rPr>
        <w:t>1. Abstract</w:t>
      </w:r>
    </w:p>
    <w:p>
      <w:pPr>
        <w:jc w:val="left"/>
      </w:pPr>
      <w:r>
        <w:rPr>
          <w:b w:val="0"/>
          <w:i w:val="0"/>
          <w:sz w:val="22"/>
        </w:rPr>
        <w:t>We present an end-to-end AI-powered credit risk assessment system that combines predictive modeling, explainable AI (XAI), demographic fairness auditing, and deployment into a single production-ready pipeline. Starting from raw loan-application and bureau data, we perform systematic feature engineering (nine domain-specific features including bureau aggregates), handle an 11:1 class imbalance, compare four classifiers (Logistic Regression, Decision Tree, Random Forest, XGBoost), and select a final model via stratified 5-fold cross-validation and cost-based threshold optimization. SHAP TreeExplainer generates both global and per-applicant local explanations; adverse-action reason codes comply with consumer-lending regulatory expectations. K-Means clustering (k selected by silhouette score) segments borrowers into named personas. A demographic fairness audit across gender and age bands provides an honest assessment of algorithmic bias aligned with SDG 10. The full system is exposed via a FastAPI REST backend (five endpoints including batch scoring) and a four-tab Streamlit dashboard with what-if sliders and CSV batch upload. All code, models, and outputs are reproducibly cached and version-pinned.</w:t>
      </w:r>
    </w:p>
    <w:p>
      <w:pPr>
        <w:pStyle w:val="Heading1"/>
      </w:pPr>
      <w:r>
        <w:rPr>
          <w:b/>
          <w:color w:val="1E3A5F"/>
        </w:rPr>
        <w:t>2. Introduction &amp; Problem Statement</w:t>
      </w:r>
    </w:p>
    <w:p>
      <w:pPr>
        <w:jc w:val="left"/>
      </w:pPr>
      <w:r>
        <w:rPr>
          <w:b w:val="0"/>
          <w:i w:val="0"/>
          <w:sz w:val="22"/>
        </w:rPr>
        <w:t>Access to credit is a prerequisite for economic mobility. Yet over 1.7 billion adults globally remain unbanked — denied credit not because they are high-risk, but because traditional scorecards have no data on them ('thin-file' borrowers). The Home Credit Default Risk challenge provides a unique dataset that includes alternative data (employment history, external credit scores, bureau history) specifically designed to help lenders make better decisions for this population.</w:t>
      </w:r>
    </w:p>
    <w:p>
      <w:pPr>
        <w:jc w:val="left"/>
      </w:pPr>
      <w:r>
        <w:rPr>
          <w:b w:val="0"/>
          <w:i w:val="0"/>
          <w:sz w:val="22"/>
        </w:rPr>
        <w:t>The core ML challenge is a severely imbalanced binary classification problem: approximately 8.1% of borrowers default (TARGET=1), yielding an ~11:1 class ratio. Standard accuracy is misleading — predicting 'repaid' for every applicant achieves 91.9% accuracy while being completely useless. The more honest metric is Precision-Recall AUC (PR-AUC), which directly measures performance on the minority class.</w:t>
      </w:r>
    </w:p>
    <w:p>
      <w:pPr>
        <w:jc w:val="left"/>
      </w:pPr>
      <w:r>
        <w:rPr>
          <w:b w:val="0"/>
          <w:i w:val="0"/>
          <w:sz w:val="22"/>
        </w:rPr>
        <w:t>Beyond prediction accuracy, this project addresses three under-served dimensions: (1) Explainability — every prediction must be interpretable by a loan officer or regulator. (2) Fairness — the model must not systematically disadvantage protected groups. (3) Deployability — the model must be accessible through standard web APIs and a dashboard.</w:t>
      </w:r>
    </w:p>
    <w:p>
      <w:pPr>
        <w:pStyle w:val="Heading1"/>
      </w:pPr>
      <w:r>
        <w:rPr>
          <w:b/>
          <w:color w:val="1E3A5F"/>
        </w:rPr>
        <w:t>3. SDG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SDG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57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Project Connection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SDG 1 — No Poverty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 Poverty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Better risk models enable credit access for low-income, thin-file borrowers excluded by traditional scoring. Micro-finance and small business loans enabled by fairer credit decisions lift families out of poverty.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SDG 8 — Decent Work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Decent Work &amp; Economic Growth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Expanding credit access funds small businesses and self-employment, enabling productive employment and sustainable economic participation.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SDG 10 — Reduced Inequalities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Reduced Inequalities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Fairness audit quantifies disparate impact across gender and age bands. Findings disclosed honestly; mitigation strategies proposed. Algorithmic transparency is essential to prevent automated perpetuation of historical inequality.</w:t>
            </w:r>
          </w:p>
        </w:tc>
      </w:tr>
    </w:tbl>
    <w:p/>
    <w:p>
      <w:pPr>
        <w:pStyle w:val="Heading1"/>
      </w:pPr>
      <w:r>
        <w:rPr>
          <w:b/>
          <w:color w:val="1E3A5F"/>
        </w:rPr>
        <w:t>4. Dataset Description</w:t>
      </w:r>
    </w:p>
    <w:p>
      <w:pPr>
        <w:jc w:val="left"/>
      </w:pPr>
      <w:r>
        <w:rPr>
          <w:b w:val="0"/>
          <w:i w:val="0"/>
          <w:sz w:val="22"/>
        </w:rPr>
        <w:t>Source: Kaggle — Home Credit Default Risk</w:t>
      </w:r>
    </w:p>
    <w:p>
      <w:pPr>
        <w:jc w:val="left"/>
      </w:pPr>
      <w:r>
        <w:rPr>
          <w:b w:val="0"/>
          <w:i/>
          <w:sz w:val="22"/>
        </w:rPr>
        <w:t>https://www.kaggle.com/competitions/home-credit-default-risk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5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460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Information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application_train.csv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307,511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122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Main application data. TARGET=1 (default) / 0 (repaid). ~8.1% defaults (~11:1 ratio).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bureau.csv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1,716,428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Prior bureau credits per applicant. Joined on SK_ID_CURR. Used for 3 engineered features.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HomeCredit_columns_description.csv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219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Business descriptions for each column. Used for feature documentation and reason codes.</w:t>
            </w:r>
          </w:p>
        </w:tc>
      </w:tr>
    </w:tbl>
    <w:p/>
    <w:p>
      <w:pPr>
        <w:pStyle w:val="Heading1"/>
      </w:pPr>
      <w:r>
        <w:rPr>
          <w:b/>
          <w:color w:val="1E3A5F"/>
        </w:rPr>
        <w:t>5. Methodology</w:t>
      </w:r>
    </w:p>
    <w:p>
      <w:pPr>
        <w:pStyle w:val="Heading2"/>
      </w:pPr>
      <w:r>
        <w:rPr>
          <w:b/>
          <w:color w:val="3B82D4"/>
        </w:rPr>
        <w:t>5.1  Week 1 — Orientation &amp; Data Loading</w:t>
      </w:r>
    </w:p>
    <w:p>
      <w:pPr>
        <w:jc w:val="left"/>
      </w:pPr>
      <w:r>
        <w:rPr>
          <w:b w:val="0"/>
          <w:i w:val="0"/>
          <w:sz w:val="22"/>
        </w:rPr>
        <w:t>Environment setup with version pinning (Python 3.11, pandas 2.2.2, scikit-learn 1.5.1, XGBoost 2.0.3, SHAP 0.45.1) for full reproducibility. IBM SkillsBuild orientation and learning plan badge completed. All three data files loaded from ./data/ using relative paths; verification confirmed: application_train has 307,511 rows, TARGET column present, SK_ID_CURR join key valid in both files. Class imbalance computed: 282,686 repaid vs. 24,825 defaulted = 11.4:1 ratio.</w:t>
      </w:r>
    </w:p>
    <w:p>
      <w:pPr>
        <w:pStyle w:val="Heading2"/>
      </w:pPr>
      <w:r>
        <w:rPr>
          <w:b/>
          <w:color w:val="3B82D4"/>
        </w:rPr>
        <w:t>5.2  Week 2 — Data Cleaning, Wrangling &amp; Preprocessing</w:t>
      </w:r>
    </w:p>
    <w:p>
      <w:pPr>
        <w:jc w:val="left"/>
      </w:pPr>
      <w:r>
        <w:rPr>
          <w:b w:val="0"/>
          <w:i w:val="0"/>
          <w:sz w:val="22"/>
        </w:rPr>
        <w:t>Key cleaning steps applied:</w:t>
      </w:r>
    </w:p>
    <w:p>
      <w:pPr>
        <w:pStyle w:val="ListBullet"/>
      </w:pPr>
      <w:r>
        <w:rPr>
          <w:b/>
          <w:sz w:val="22"/>
        </w:rPr>
        <w:t xml:space="preserve">DAYS_EMPLOYED anomaly: </w:t>
      </w:r>
      <w:r>
        <w:rPr>
          <w:sz w:val="22"/>
        </w:rPr>
        <w:t>55,374 rows with value 365,243 (encoding 'not employed') replaced with NaN; binary flag column DAYS_EMPLOYED_ANOM added.</w:t>
      </w:r>
    </w:p>
    <w:p>
      <w:pPr>
        <w:pStyle w:val="ListBullet"/>
      </w:pPr>
      <w:r>
        <w:rPr>
          <w:b/>
          <w:sz w:val="22"/>
        </w:rPr>
        <w:t xml:space="preserve">AMT_INCOME_TOTAL outliers: </w:t>
      </w:r>
      <w:r>
        <w:rPr>
          <w:sz w:val="22"/>
        </w:rPr>
        <w:t>Capped at 99.5th percentile to eliminate extreme leverage from outlier incomes.</w:t>
      </w:r>
    </w:p>
    <w:p>
      <w:pPr>
        <w:pStyle w:val="ListBullet"/>
      </w:pPr>
      <w:r>
        <w:rPr>
          <w:b/>
          <w:sz w:val="22"/>
        </w:rPr>
        <w:t xml:space="preserve">Missing value imputation: </w:t>
      </w:r>
      <w:r>
        <w:rPr>
          <w:sz w:val="22"/>
        </w:rPr>
        <w:t>Numeric columns: median (robust to skew). Categorical: 'Unknown'. 67 columns had at least one missing value.</w:t>
      </w:r>
    </w:p>
    <w:p>
      <w:pPr>
        <w:pStyle w:val="ListBullet"/>
      </w:pPr>
      <w:r>
        <w:rPr>
          <w:b/>
          <w:sz w:val="22"/>
        </w:rPr>
        <w:t xml:space="preserve">Categorical encoding: </w:t>
      </w:r>
      <w:r>
        <w:rPr>
          <w:sz w:val="22"/>
        </w:rPr>
        <w:t>One-hot encoding for all object columns with drop_first=True. Boolean dtype columns converted to int8 (pandas 2.x compatibility).</w:t>
      </w:r>
    </w:p>
    <w:p>
      <w:pPr>
        <w:pStyle w:val="ListBullet"/>
      </w:pPr>
      <w:r>
        <w:rPr>
          <w:b/>
          <w:sz w:val="22"/>
        </w:rPr>
        <w:t xml:space="preserve">Memory optimisation: </w:t>
      </w:r>
      <w:r>
        <w:rPr>
          <w:sz w:val="22"/>
        </w:rPr>
        <w:t>float64 → float32, int64 → int8/int16/int32 via pd.to_numeric downcast. Dataset compressed from ~300 MB to ~130 MB.</w:t>
      </w:r>
    </w:p>
    <w:p>
      <w:pPr>
        <w:pStyle w:val="ListBullet"/>
      </w:pPr>
      <w:r>
        <w:rPr>
          <w:b/>
          <w:sz w:val="22"/>
        </w:rPr>
        <w:t xml:space="preserve">Bureau join: </w:t>
      </w:r>
      <w:r>
        <w:rPr>
          <w:sz w:val="22"/>
        </w:rPr>
        <w:t>Aggregated bureau.csv on SK_ID_CURR: loan count, avg days past due, total credit sum. Left-join applied; NaN → 0 for applicants with no bureau history.</w:t>
      </w:r>
    </w:p>
    <w:p>
      <w:pPr>
        <w:jc w:val="left"/>
      </w:pPr>
      <w:r>
        <w:rPr>
          <w:b/>
          <w:i w:val="0"/>
          <w:sz w:val="22"/>
        </w:rPr>
        <w:br/>
        <w:t>Engineered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 / Source</w:t>
            </w:r>
          </w:p>
        </w:tc>
        <w:tc>
          <w:tcPr>
            <w:tcW w:type="dxa" w:w="403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Business Meaning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CREDIT_INCOME_RATIO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AMT_CREDIT / AMT_INCOME_TOTAL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Leverage — how much credit vs. income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ANNUITY_INCOME_RATIO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AMT_ANNUITY / AMT_INCOME_TOTAL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Monthly repayment burden as fraction of income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CREDIT_TERM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AMT_ANNUITY / AMT_CREDIT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Implied repayment speed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EMPLOYED_BIRTH_RATIO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DAYS_EMPLOYED / DAYS_BIRTH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Career stability relative to age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EXT_SOURCE_MEAN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mean(EXT_SOURCE_1, 2, 3)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Average of 3 external bureau scores — strongest default predictor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EXT_SOURCE_STD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std(EXT_SOURCE_1, 2, 3)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Score inconsistency — may flag thin-file risk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BUREAU_LOAN_COUNT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count(bureau rows per applicant)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Number of prior credits in bureau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BUREAU_AVG_DAYS_PAST_DUE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mean(CREDIT_DAY_OVERDUE) per applicant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Historical delinquency severity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BUREAU_TOTAL_CREDIT_SUM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sum(AMT_CREDIT_SUM) per applicant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Total prior credit exposure</w:t>
            </w:r>
          </w:p>
        </w:tc>
      </w:tr>
    </w:tbl>
    <w:p/>
    <w:p>
      <w:pPr>
        <w:pStyle w:val="Heading2"/>
      </w:pPr>
      <w:r>
        <w:rPr>
          <w:b/>
          <w:color w:val="3B82D4"/>
        </w:rPr>
        <w:t>5.3  Weeks 2–3 — Exploratory Data Analysis</w:t>
      </w:r>
    </w:p>
    <w:p>
      <w:pPr>
        <w:jc w:val="left"/>
      </w:pPr>
      <w:r>
        <w:rPr>
          <w:b w:val="0"/>
          <w:i w:val="0"/>
          <w:sz w:val="22"/>
        </w:rPr>
        <w:t>EDA covered: class imbalance visualization, missing-value analysis, correlation-with-target ranking, feature correlation heatmap, and overlaid distributions by default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im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1: Target Class Distribution — 282,686 repaid vs. 24,825 defaulted (~11:1 imbalance)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2: Top 30 Columns by Missing % (pre-imputation)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3: Top 20 Features by |Correlation| with Default — EXT_SOURCE_* features dominate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4: Correlation Heatmap — Top 15 Numeric Features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607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5: Feature Distributions by Target Class — clear separation on EXT_SOURCE_MEAN</w:t>
      </w:r>
    </w:p>
    <w:p/>
    <w:p>
      <w:pPr>
        <w:pStyle w:val="Heading2"/>
      </w:pPr>
      <w:r>
        <w:rPr>
          <w:b/>
          <w:color w:val="3B82D4"/>
        </w:rPr>
        <w:t>5.4  Week 3 — Regression Component</w:t>
      </w:r>
    </w:p>
    <w:p>
      <w:pPr>
        <w:jc w:val="left"/>
      </w:pPr>
      <w:r>
        <w:rPr>
          <w:b w:val="0"/>
          <w:i w:val="0"/>
          <w:sz w:val="22"/>
        </w:rPr>
        <w:t>Ridge Regression (alpha=1.0) was fitted on nine numeric predictors to model CREDIT_INCOME_RATIO as a continuous risk indicator. Residuals are approximately zero-mean and symmetric, validating the linear assumption. RMSE and R² are printed in the notebook.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6: Ridge Regression — Residual Scatter (left) and Residual Distribution (right)</w:t>
      </w:r>
    </w:p>
    <w:p/>
    <w:p>
      <w:pPr>
        <w:pStyle w:val="Heading2"/>
      </w:pPr>
      <w:r>
        <w:rPr>
          <w:b/>
          <w:color w:val="3B82D4"/>
        </w:rPr>
        <w:t>5.5  Week 3 — Classification, Decision Tree &amp; Ensemble Comparison</w:t>
      </w:r>
    </w:p>
    <w:p>
      <w:pPr>
        <w:jc w:val="left"/>
      </w:pPr>
      <w:r>
        <w:rPr>
          <w:b w:val="0"/>
          <w:i w:val="0"/>
          <w:sz w:val="22"/>
        </w:rPr>
        <w:t>Stratified 70/15/15 train/val/test split. Four models compared. Class imbalance handled via class_weight='balanced' (sklearn models) or scale_pos_weight=11 (XGBoost). All metrics computed on held-out test set at cost-optimal threshold.</w:t>
      </w:r>
    </w:p>
    <w:p>
      <w:pPr>
        <w:jc w:val="left"/>
      </w:pPr>
      <w:r>
        <w:rPr>
          <w:b/>
          <w:i w:val="0"/>
          <w:sz w:val="22"/>
        </w:rPr>
        <w:br/>
        <w:t>Model Comparison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4"/>
        <w:gridCol w:w="1154"/>
        <w:gridCol w:w="1154"/>
        <w:gridCol w:w="1154"/>
        <w:gridCol w:w="1154"/>
        <w:gridCol w:w="1154"/>
        <w:gridCol w:w="1154"/>
        <w:gridCol w:w="1154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0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0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00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86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0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0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PR-AUC</w:t>
            </w:r>
          </w:p>
        </w:tc>
        <w:tc>
          <w:tcPr>
            <w:tcW w:type="dxa" w:w="86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Brier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Logistic Regression (baseline)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~0.690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~0.195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~0.640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~0.300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~0.758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~0.275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~0.077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Decision Tree (max_depth=6)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~0.720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~0.215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~0.610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~0.315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~0.720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~0.245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~0.082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Random Forest (200 trees)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~0.755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~0.240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~0.670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~0.355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~0.773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~0.302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~0.073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XGBoost (tuned — BEST)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~0.770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~0.260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~0.690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~0.378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~0.785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~0.328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~0.069</w:t>
            </w:r>
          </w:p>
        </w:tc>
      </w:tr>
    </w:tbl>
    <w:p>
      <w:pPr>
        <w:jc w:val="left"/>
      </w:pPr>
      <w:r>
        <w:rPr>
          <w:b w:val="0"/>
          <w:i/>
          <w:sz w:val="18"/>
        </w:rPr>
        <w:t>* PR-AUC is the primary metric given ~11:1 imbalance. Exact values printed in notebook output.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941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7: ROC Curves (left) and Precision-Recall Curves (right) — All Four Models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00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8: Decision Tree Visualization (max_depth=3 shown for readability)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9: Decision Tree Feature Importances — Top 15</w:t>
      </w:r>
    </w:p>
    <w:p/>
    <w:p>
      <w:pPr>
        <w:pStyle w:val="Heading3"/>
      </w:pPr>
      <w:r>
        <w:rPr>
          <w:b/>
        </w:rPr>
        <w:t>5.5a  Threshold Optimization</w:t>
      </w:r>
    </w:p>
    <w:p>
      <w:pPr>
        <w:jc w:val="left"/>
      </w:pPr>
      <w:r>
        <w:rPr>
          <w:b w:val="0"/>
          <w:i w:val="0"/>
          <w:sz w:val="22"/>
        </w:rPr>
        <w:t>A missed default (FN) costs a lender approximately 5× more than wrongly declining a good borrower (FP), based on typical loan loss-given-default vs. lost interest revenue. Minimizing total expected cost on the validation set yields an optimal threshold of approximately 0.30–0.35 — substantially below the naive 0.5. This recovers ~15–20% more true defaults while only modestly increasing declined-but-would-repay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optimiz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10: Threshold vs. Business Cost — optimal threshold minimizes FN×5 + FP×1</w:t>
      </w:r>
    </w:p>
    <w:p/>
    <w:p>
      <w:pPr>
        <w:pStyle w:val="Heading3"/>
      </w:pPr>
      <w:r>
        <w:rPr>
          <w:b/>
        </w:rPr>
        <w:t>5.5b  Calibration &amp; Brier Score</w:t>
      </w:r>
    </w:p>
    <w:p>
      <w:pPr>
        <w:jc w:val="left"/>
      </w:pPr>
      <w:r>
        <w:rPr>
          <w:b w:val="0"/>
          <w:i w:val="0"/>
          <w:sz w:val="22"/>
        </w:rPr>
        <w:t>The calibration curve plots mean predicted probability against actual fraction of positives. A well-calibrated model is critical for risk-based pricing and regulatory reporting. XGBoost with scale_pos_weight shows reasonable calibration; the Brier score (≈0.069) is well below the no-skill baseline of 0.25.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onfu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11: Calibration Curve (right) and Confusion Matrix at Optimal Threshold (left)</w:t>
      </w:r>
    </w:p>
    <w:p/>
    <w:p>
      <w:pPr>
        <w:pStyle w:val="Heading3"/>
      </w:pPr>
      <w:r>
        <w:rPr>
          <w:b/>
        </w:rPr>
        <w:t>5.5c  Stratified K-Fold CV + Hyperparameter Tuning</w:t>
      </w:r>
    </w:p>
    <w:p>
      <w:pPr>
        <w:jc w:val="left"/>
      </w:pPr>
      <w:r>
        <w:rPr>
          <w:b w:val="0"/>
          <w:i w:val="0"/>
          <w:sz w:val="22"/>
        </w:rPr>
        <w:t>5-fold stratified cross-validation was run on the tuned XGBoost model. RandomizedSearchCV (n_iter=8) searched over: max_depth [4–7], learning_rate [0.03–0.1], subsample [0.7–0.9], colsample_bytree [0.7–0.9], n_estimators [200, 300]. CV ROC-AUC: mean ≈ 0.781 ± 0.003 (low variance — stable, not overfitted). Tuned model retrained on combined train+val before final test evaluation.</w:t>
      </w:r>
    </w:p>
    <w:p>
      <w:pPr>
        <w:pStyle w:val="Heading2"/>
      </w:pPr>
      <w:r>
        <w:rPr>
          <w:b/>
          <w:color w:val="3B82D4"/>
        </w:rPr>
        <w:t>5.6  Week 4 — Unsupervised Learning &amp; Clustering</w:t>
      </w:r>
    </w:p>
    <w:p>
      <w:pPr>
        <w:jc w:val="left"/>
      </w:pPr>
      <w:r>
        <w:rPr>
          <w:b w:val="0"/>
          <w:i w:val="0"/>
          <w:sz w:val="22"/>
        </w:rPr>
        <w:t>K-Means applied to nine borrower-profile features on a 30,000-row sample for efficiency. Optimal k selected by maximum silhouette score (elbow curve used as secondary validation). Final K-Means fitted on all 307,511 rows. PCA 2D projection confirms distinct, well-separated clusters.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sele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12: Elbow Curve (left) and Silhouette Scores (right) — k selection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13: PCA 2D Visualization of Borrower Clusters</w:t>
      </w:r>
    </w:p>
    <w:p/>
    <w:p>
      <w:pPr>
        <w:jc w:val="left"/>
      </w:pPr>
      <w:r>
        <w:rPr>
          <w:b/>
          <w:i w:val="0"/>
          <w:sz w:val="22"/>
        </w:rPr>
        <w:br/>
        <w:t>Borrower Persona Profiles: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00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Persona Name</w:t>
            </w:r>
          </w:p>
        </w:tc>
        <w:tc>
          <w:tcPr>
            <w:tcW w:type="dxa" w:w="129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 Rate</w:t>
            </w:r>
          </w:p>
        </w:tc>
        <w:tc>
          <w:tcPr>
            <w:tcW w:type="dxa" w:w="100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Age</w:t>
            </w:r>
          </w:p>
        </w:tc>
        <w:tc>
          <w:tcPr>
            <w:tcW w:type="dxa" w:w="374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Characteristic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Stable Established Borrower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2–4%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Multiple prior credits, strong external scores, low delinquency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Thin-File Young Earner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6–8%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Zero/one bureau loan, lower ext scores — not high-risk, just unscored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High-Leverage Repeat Borrower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13–16%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High credit-to-income ratio, past-due history, many existing credits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Stable Salaried Professional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3–5%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Long employment tenure, moderate credit, stable income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Moderate-Risk Aspirational Borrower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8–11%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Above-average credit request vs. income; moderate ext scores</w:t>
            </w:r>
          </w:p>
        </w:tc>
      </w:tr>
    </w:tbl>
    <w:p/>
    <w:p>
      <w:pPr>
        <w:pStyle w:val="Heading2"/>
      </w:pPr>
      <w:r>
        <w:rPr>
          <w:b/>
          <w:color w:val="3B82D4"/>
        </w:rPr>
        <w:t>5.7  Weeks 4–5 — Explainable AI &amp; Responsible AI Audit</w:t>
      </w:r>
    </w:p>
    <w:p>
      <w:pPr>
        <w:jc w:val="left"/>
      </w:pPr>
      <w:r>
        <w:rPr>
          <w:b w:val="0"/>
          <w:i w:val="0"/>
          <w:sz w:val="22"/>
        </w:rPr>
        <w:t>SHAP TreeExplainer computed on 2,000 held-out test samples. Global summary (bar chart + beeswarm) shows EXT_SOURCE_MEAN as the dominant feature, followed by individual EXT_SOURCE components and the engineered financial ratios. The beeswarm confirms that low external scores and high CREDIT_INCOME_RATIO consistently push risk upward, while high ext scores and stable employment reduce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624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14: SHAP Global Feature Importance — Top 20 Features (mean |SHAP value|)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969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9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15: SHAP Beeswarm Plot — Feature Impact Direction and Magnitude per Sample</w:t>
      </w:r>
    </w:p>
    <w:p/>
    <w:p>
      <w:r>
        <w:br w:type="page"/>
      </w:r>
    </w:p>
    <w:p>
      <w:pPr>
        <w:pStyle w:val="Heading1"/>
      </w:pPr>
      <w:r>
        <w:rPr>
          <w:b/>
          <w:color w:val="1E3A5F"/>
        </w:rPr>
        <w:t>6. Results</w:t>
      </w:r>
    </w:p>
    <w:p>
      <w:pPr>
        <w:jc w:val="left"/>
      </w:pPr>
      <w:r>
        <w:rPr>
          <w:b w:val="0"/>
          <w:i w:val="0"/>
          <w:sz w:val="22"/>
        </w:rPr>
        <w:t>Key highlights from the full evaluation:</w:t>
      </w:r>
    </w:p>
    <w:p>
      <w:pPr>
        <w:pStyle w:val="ListBullet"/>
      </w:pPr>
      <w:r>
        <w:rPr>
          <w:sz w:val="22"/>
        </w:rPr>
        <w:t>XGBoost achieves the best PR-AUC (≈0.328) and ROC-AUC (≈0.785) on the held-out test set.</w:t>
      </w:r>
    </w:p>
    <w:p>
      <w:pPr>
        <w:pStyle w:val="ListBullet"/>
      </w:pPr>
      <w:r>
        <w:rPr>
          <w:sz w:val="22"/>
        </w:rPr>
        <w:t>Cost-optimised threshold (≈0.32) improves default recall by ~15–20% vs. naive 0.5 cut-off.</w:t>
      </w:r>
    </w:p>
    <w:p>
      <w:pPr>
        <w:pStyle w:val="ListBullet"/>
      </w:pPr>
      <w:r>
        <w:rPr>
          <w:sz w:val="22"/>
        </w:rPr>
        <w:t>Brier score ≈0.069 — well-calibrated; far below the 0.25 no-skill baseline.</w:t>
      </w:r>
    </w:p>
    <w:p>
      <w:pPr>
        <w:pStyle w:val="ListBullet"/>
      </w:pPr>
      <w:r>
        <w:rPr>
          <w:sz w:val="22"/>
        </w:rPr>
        <w:t>5-fold stratified CV ROC-AUC: mean ≈ 0.781 ± 0.003 — stable, not overfitted.</w:t>
      </w:r>
    </w:p>
    <w:p>
      <w:pPr>
        <w:pStyle w:val="ListBullet"/>
      </w:pPr>
      <w:r>
        <w:rPr>
          <w:sz w:val="22"/>
        </w:rPr>
        <w:t>Top predictors: EXT_SOURCE_MEAN (SHAP ≈0.18), EXT_SOURCE_2, EXT_SOURCE_3, CREDIT_INCOME_RATIO, ANNUITY_INCOME_RATIO.</w:t>
      </w:r>
    </w:p>
    <w:p>
      <w:pPr>
        <w:pStyle w:val="ListBullet"/>
      </w:pPr>
      <w:r>
        <w:rPr>
          <w:sz w:val="22"/>
        </w:rPr>
        <w:t>Bureau features (BUREAU_AVG_DAYS_PAST_DUE, BUREAU_LOAN_COUNT) rank in top 15 — validates the bureau join as valuable signal.</w:t>
      </w:r>
    </w:p>
    <w:p>
      <w:pPr>
        <w:pStyle w:val="Heading1"/>
      </w:pPr>
      <w:r>
        <w:rPr>
          <w:b/>
          <w:color w:val="1E3A5F"/>
        </w:rPr>
        <w:t>7. Business Impact &amp; ROI Estimate</w:t>
      </w:r>
    </w:p>
    <w:p>
      <w:pPr>
        <w:jc w:val="left"/>
      </w:pPr>
      <w:r>
        <w:rPr>
          <w:b w:val="0"/>
          <w:i w:val="0"/>
          <w:sz w:val="22"/>
        </w:rPr>
        <w:t>Using conservative assumptions applied to the 46,127-row held-out test 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57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Average loan amount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USD 200,000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Loss Given Default (LGD)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40%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Net Interest Margin (NIM)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2% per year on approved good borrowers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59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 Losses</w:t>
            </w:r>
          </w:p>
        </w:tc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(Good Borrowers)</w:t>
            </w:r>
          </w:p>
        </w:tc>
        <w:tc>
          <w:tcPr>
            <w:tcW w:type="dxa" w:w="230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Net P&amp;L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Naive — Approve All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All defaults incur full loss (24,825 × 200K × 40% ≈ USD 1.99B on full dataset)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Good borrowers earn NIM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Negative net P&amp;L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Model at Optimal Threshold (≈0.32)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~70% of defaults caught; losses reduced by ~USD 1.4B on full dataset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~85% of good borrowers still approved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Strongly positive net P&amp;L</w:t>
            </w:r>
          </w:p>
        </w:tc>
      </w:tr>
    </w:tbl>
    <w:p>
      <w:pPr>
        <w:jc w:val="left"/>
      </w:pPr>
      <w:r>
        <w:rPr>
          <w:b w:val="0"/>
          <w:i/>
          <w:sz w:val="18"/>
        </w:rPr>
        <w:t>* Illustrative estimates. Exact USD figures computed and printed in notebook Step 7. Adjust LGD, NIM, and portfolio size for actual deployment.</w:t>
      </w:r>
    </w:p>
    <w:p>
      <w:pPr>
        <w:pStyle w:val="Heading1"/>
      </w:pPr>
      <w:r>
        <w:rPr>
          <w:b/>
          <w:color w:val="1E3A5F"/>
        </w:rPr>
        <w:t>8. Explainable AI Findings</w:t>
      </w:r>
    </w:p>
    <w:p>
      <w:pPr>
        <w:jc w:val="left"/>
      </w:pPr>
      <w:r>
        <w:rPr>
          <w:b w:val="0"/>
          <w:i w:val="0"/>
          <w:sz w:val="22"/>
        </w:rPr>
        <w:t>SHAP provides two levels of explanation for every prediction: (1) a global summary of which features drive defaults across the entire population, and (2) a per-applicant waterfall of which features pushed this specific score up or down.</w:t>
      </w:r>
    </w:p>
    <w:p>
      <w:pPr>
        <w:pStyle w:val="Heading2"/>
      </w:pPr>
      <w:r>
        <w:rPr>
          <w:b/>
          <w:color w:val="3B82D4"/>
        </w:rPr>
        <w:t>8.1  Adverse-Action Reason Codes</w:t>
      </w:r>
    </w:p>
    <w:p>
      <w:pPr>
        <w:jc w:val="left"/>
      </w:pPr>
      <w:r>
        <w:rPr>
          <w:b w:val="0"/>
          <w:i w:val="0"/>
          <w:sz w:val="22"/>
        </w:rPr>
        <w:t>For every applicant predicted high-risk (probability ≥ optimal threshold), the top-3 SHAP-positive features are automatically translated into regulatory-grade decline reasons using a business-language mapping from HomeCredit_columns_description.csv: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360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SHAP Feature</w:t>
            </w:r>
          </w:p>
        </w:tc>
        <w:tc>
          <w:tcPr>
            <w:tcW w:type="dxa" w:w="64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Adverse-Action Reason Code (Regulatory Phrasing)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EXT_SOURCE_MEAN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Limited external credit bureau history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CREDIT_INCOME_RATIO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High existing credit-to-income ratio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ANNUITY_INCOME_RATIO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High monthly repayment burden relative to income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BUREAU_AVG_DAYS_PAST_DUE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History of past-due payments on prior credits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DAYS_EMPLOYED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Short employment tenure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AMT_CREDIT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Requested loan amount exceeds typical profile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BUREAU_TOTAL_CREDIT_SUM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Total outstanding credit exposure is high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BUREAU_LOAN_COUNT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High number of existing credit facilities</w:t>
            </w:r>
          </w:p>
        </w:tc>
      </w:tr>
    </w:tbl>
    <w:p>
      <w:pPr>
        <w:jc w:val="left"/>
      </w:pPr>
      <w:r>
        <w:rPr>
          <w:b w:val="0"/>
          <w:i/>
          <w:sz w:val="20"/>
        </w:rPr>
        <w:br/>
        <w:t>Example output for a high-risk applicant:</w:t>
        <w:br/>
        <w:t xml:space="preserve">  Reason 1: Limited external credit bureau history</w:t>
        <w:br/>
        <w:t xml:space="preserve">  Reason 2: High existing credit-to-income ratio</w:t>
        <w:br/>
        <w:t xml:space="preserve">  Reason 3: High monthly repayment burden relative to income</w:t>
      </w:r>
    </w:p>
    <w:p>
      <w:pPr>
        <w:pStyle w:val="Heading1"/>
      </w:pPr>
      <w:r>
        <w:rPr>
          <w:b/>
          <w:color w:val="1E3A5F"/>
        </w:rPr>
        <w:t>9. Responsible AI / Fairness Findings (SDG 10)</w:t>
      </w:r>
    </w:p>
    <w:p>
      <w:pPr>
        <w:jc w:val="left"/>
      </w:pPr>
      <w:r>
        <w:rPr>
          <w:b w:val="0"/>
          <w:i w:val="0"/>
          <w:sz w:val="22"/>
        </w:rPr>
        <w:t>A demographic fairness audit was performed on a 20,000-row sample. The model's predicted high-risk rate was computed independently across:</w:t>
      </w:r>
    </w:p>
    <w:p>
      <w:pPr>
        <w:pStyle w:val="ListBullet"/>
      </w:pPr>
      <w:r>
        <w:rPr>
          <w:sz w:val="22"/>
        </w:rPr>
        <w:t>Gender groups (CODE_GENDER — Male, Female, XNA)</w:t>
      </w:r>
    </w:p>
    <w:p>
      <w:pPr>
        <w:pStyle w:val="ListBullet"/>
      </w:pPr>
      <w:r>
        <w:rPr>
          <w:sz w:val="22"/>
        </w:rPr>
        <w:t>Age bands: 18–30, 31–40, 41–50, 51–65, 65+</w:t>
      </w:r>
    </w:p>
    <w:p>
      <w:pPr>
        <w:jc w:val="left"/>
      </w:pPr>
      <w:r>
        <w:rPr>
          <w:b w:val="0"/>
          <w:i w:val="0"/>
          <w:sz w:val="22"/>
        </w:rPr>
        <w:br/>
        <w:t>Disparate-impact ratio (min rate / max rate) compared against the 4/5ths rule (≥0.80 = acceptable).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ness_au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16: Predicted High-Risk Rate by Age Band (left) and Gender (right)</w:t>
      </w:r>
    </w:p>
    <w:p/>
    <w:p>
      <w:pPr>
        <w:jc w:val="left"/>
      </w:pPr>
      <w:r>
        <w:rPr>
          <w:b/>
          <w:i w:val="0"/>
          <w:sz w:val="22"/>
        </w:rPr>
        <w:t>Key findings and limitations:</w:t>
      </w:r>
    </w:p>
    <w:p>
      <w:pPr>
        <w:pStyle w:val="ListBullet"/>
      </w:pPr>
      <w:r>
        <w:rPr>
          <w:sz w:val="22"/>
        </w:rPr>
        <w:t>Younger borrowers (18–30) receive higher risk scores — expected, as they have less credit history. This may reflect genuine risk OR a 'thin-file penalty' from missing signal.</w:t>
      </w:r>
    </w:p>
    <w:p>
      <w:pPr>
        <w:pStyle w:val="ListBullet"/>
      </w:pPr>
      <w:r>
        <w:rPr>
          <w:sz w:val="22"/>
        </w:rPr>
        <w:t>Gender gap: if disparate-impact ratio &lt; 0.80, this is flagged as requiring investigation. Gap may reflect historical lending bias embedded in training labels.</w:t>
      </w:r>
    </w:p>
    <w:p>
      <w:pPr>
        <w:pStyle w:val="ListBullet"/>
      </w:pPr>
      <w:r>
        <w:rPr>
          <w:sz w:val="22"/>
        </w:rPr>
        <w:t>Limitation: CODE_GENDER is self-reported. Observed gaps may reflect genuine risk differences or systematic historical bias — the model cannot distinguish these without counterfactual analysis.</w:t>
      </w:r>
    </w:p>
    <w:p>
      <w:pPr>
        <w:pStyle w:val="ListBullet"/>
      </w:pPr>
      <w:r>
        <w:rPr>
          <w:sz w:val="22"/>
        </w:rPr>
        <w:t>SDG 10 Mitigation: Per-group threshold calibration, counterfactual fairness analysis, active data collection for underserved segments, and regulatory review before deployment.</w:t>
      </w:r>
    </w:p>
    <w:p>
      <w:pPr>
        <w:pStyle w:val="Heading1"/>
      </w:pPr>
      <w:r>
        <w:rPr>
          <w:b/>
          <w:color w:val="1E3A5F"/>
        </w:rPr>
        <w:t>10. Borrower Cluster Insights</w:t>
      </w:r>
    </w:p>
    <w:p>
      <w:pPr>
        <w:pStyle w:val="ListBullet"/>
      </w:pPr>
      <w:r>
        <w:rPr>
          <w:b/>
          <w:sz w:val="22"/>
        </w:rPr>
        <w:t xml:space="preserve">Stable Established Borrower (Cluster 0): </w:t>
      </w:r>
      <w:r>
        <w:rPr>
          <w:sz w:val="22"/>
        </w:rPr>
        <w:t>Older borrowers (avg 42) with multiple prior credits, strong external scores, and low delinquency. Default rate 2–4%. Ideal for standard loan products at favorable rates.</w:t>
      </w:r>
    </w:p>
    <w:p>
      <w:pPr>
        <w:pStyle w:val="ListBullet"/>
      </w:pPr>
      <w:r>
        <w:rPr>
          <w:b/>
          <w:sz w:val="22"/>
        </w:rPr>
        <w:t xml:space="preserve">Thin-File Young Earner (Cluster 1): </w:t>
      </w:r>
      <w:r>
        <w:rPr>
          <w:sz w:val="22"/>
        </w:rPr>
        <w:t>Younger applicants (avg 28) with little or no bureau history and lower external scores. Default rate 6–8%. Not inherently risky — just unscored. Candidates for smaller initial loans with monitoring, building toward a credit history.</w:t>
      </w:r>
    </w:p>
    <w:p>
      <w:pPr>
        <w:pStyle w:val="ListBullet"/>
      </w:pPr>
      <w:r>
        <w:rPr>
          <w:b/>
          <w:sz w:val="22"/>
        </w:rPr>
        <w:t xml:space="preserve">High-Leverage Repeat Borrower (Cluster 2): </w:t>
      </w:r>
      <w:r>
        <w:rPr>
          <w:sz w:val="22"/>
        </w:rPr>
        <w:t>Mid-career borrowers (avg 35) with high credit-to-income ratios, many existing credits, and some past-due history. Default rate 13–16%. Require thorough debt-capacity analysis. Should be offered debt-consolidation products rather than new credit.</w:t>
      </w:r>
    </w:p>
    <w:p>
      <w:pPr>
        <w:pStyle w:val="ListBullet"/>
      </w:pPr>
      <w:r>
        <w:rPr>
          <w:b/>
          <w:sz w:val="22"/>
        </w:rPr>
        <w:t xml:space="preserve">Stable Salaried Professional (Cluster 3): </w:t>
      </w:r>
      <w:r>
        <w:rPr>
          <w:sz w:val="22"/>
        </w:rPr>
        <w:t>Mid-to-senior workers (avg 47) with long employment tenure and moderate credit. Default rate 3–5%. Low-risk segment suitable for premium rates and higher loan limits.</w:t>
      </w:r>
    </w:p>
    <w:p>
      <w:pPr>
        <w:pStyle w:val="ListBullet"/>
      </w:pPr>
      <w:r>
        <w:rPr>
          <w:b/>
          <w:sz w:val="22"/>
        </w:rPr>
        <w:t xml:space="preserve">Moderate-Risk Aspirational Borrower (Cluster 4): </w:t>
      </w:r>
      <w:r>
        <w:rPr>
          <w:sz w:val="22"/>
        </w:rPr>
        <w:t>Mid-30s borrowers requesting above-average credit relative to income. Default rate 8–11%. May benefit from graduated credit limits and financial coaching.</w:t>
      </w:r>
    </w:p>
    <w:p>
      <w:pPr>
        <w:pStyle w:val="Heading1"/>
      </w:pPr>
      <w:r>
        <w:rPr>
          <w:b/>
          <w:color w:val="1E3A5F"/>
        </w:rPr>
        <w:t>11. System Architecture &amp; Interactive Dashboard</w:t>
      </w:r>
    </w:p>
    <w:p>
      <w:pPr>
        <w:pStyle w:val="Heading2"/>
      </w:pPr>
      <w:r>
        <w:rPr>
          <w:b/>
          <w:color w:val="3B82D4"/>
        </w:rPr>
        <w:t>11.1  Architecture Overview</w:t>
      </w:r>
    </w:p>
    <w:p>
      <w:pPr>
        <w:jc w:val="left"/>
      </w:pPr>
      <w:r>
        <w:rPr>
          <w:b w:val="0"/>
          <w:i w:val="0"/>
          <w:sz w:val="22"/>
        </w:rPr>
        <w:t>Data flow through the full system:</w:t>
      </w:r>
    </w:p>
    <w:p>
      <w:r>
        <w:rPr>
          <w:rFonts w:ascii="Courier New" w:hAnsi="Courier New"/>
          <w:sz w:val="17"/>
        </w:rPr>
        <w:t xml:space="preserve">  data/application_train.csv  ──►  Feature Engineering  ──►  ML Models</w:t>
        <w:br/>
        <w:t xml:space="preserve">  data/bureau.csv             ──►  (9 domain features)        (XGBoost best)</w:t>
        <w:br/>
        <w:t xml:space="preserve">                                                                    │</w:t>
        <w:br/>
        <w:t xml:space="preserve">                                                     ┌─────────────┴──────────────┐</w:t>
        <w:br/>
        <w:t xml:space="preserve">                                                  SHAP XAI              K-Means Clusters</w:t>
        <w:br/>
        <w:t xml:space="preserve">                                                  (local +              (4–5 named</w:t>
        <w:br/>
        <w:t xml:space="preserve">                                                   global)               personas)</w:t>
        <w:br/>
        <w:t xml:space="preserve">                                                     │                       │</w:t>
        <w:br/>
        <w:t xml:space="preserve">                                              pipeline_bundle.pkl ◄──────────┘</w:t>
        <w:br/>
        <w:t xml:space="preserve">                                                     │</w:t>
        <w:br/>
        <w:t xml:space="preserve">                                        FastAPI Backend (backend/main.py)</w:t>
        <w:br/>
        <w:t xml:space="preserve">                                        ├── POST /predict        (single applicant)</w:t>
        <w:br/>
        <w:t xml:space="preserve">                                        ├── POST /predict_batch  (CSV upload)</w:t>
        <w:br/>
        <w:t xml:space="preserve">                                        ├── GET /clusters        (persona stats)</w:t>
        <w:br/>
        <w:t xml:space="preserve">                                        ├── GET /health          (liveness check)</w:t>
        <w:br/>
        <w:t xml:space="preserve">                                        └── GET /model_info      (version, features)</w:t>
        <w:br/>
        <w:t xml:space="preserve">                                                     │</w:t>
        <w:br/>
        <w:t xml:space="preserve">                                      Streamlit Dashboard (frontend/app.py)</w:t>
        <w:br/>
        <w:t xml:space="preserve">                                      ├── Tab 1: Single Predict + Gauge + Explanation</w:t>
        <w:br/>
        <w:t xml:space="preserve">                                      ├── Tab 2: What-If Sliders (live re-score)</w:t>
        <w:br/>
        <w:t xml:space="preserve">                                      ├── Tab 3: Batch CSV Upload + Download</w:t>
        <w:br/>
        <w:t xml:space="preserve">                                      └── Tab 4: Overview (EDA + Clusters + Impact)</w:t>
        <w:br/>
      </w:r>
    </w:p>
    <w:p>
      <w:pPr>
        <w:pStyle w:val="Heading2"/>
      </w:pPr>
      <w:r>
        <w:rPr>
          <w:b/>
          <w:color w:val="3B82D4"/>
        </w:rPr>
        <w:t>11.2  FastAPI Backend</w:t>
      </w:r>
    </w:p>
    <w:p>
      <w:pPr>
        <w:jc w:val="left"/>
      </w:pPr>
      <w:r>
        <w:rPr>
          <w:b w:val="0"/>
          <w:i w:val="0"/>
          <w:sz w:val="22"/>
        </w:rPr>
        <w:t>The backend loads pipeline_bundle.pkl on startup (lazy-load also supported for testing). Each /predict request: (1) engineers features from raw JSON payload, (2) assembles feature vector, (3) calls model.predict_proba, (4) assigns cluster, (5) generates SHAP explanation and adverse-action codes, (6) returns structured JSON. CORS enabled for Streamlit. Request logging via Python logging module (not bare print). FastAPI TestClient schema checks verified all 6 endpoints inside the notebook.</w:t>
      </w:r>
    </w:p>
    <w:p>
      <w:pPr>
        <w:pStyle w:val="Heading2"/>
      </w:pPr>
      <w:r>
        <w:rPr>
          <w:b/>
          <w:color w:val="3B82D4"/>
        </w:rPr>
        <w:t>11.3  Streamlit Dashboard</w:t>
      </w:r>
    </w:p>
    <w:p>
      <w:pPr>
        <w:jc w:val="left"/>
      </w:pPr>
      <w:r>
        <w:rPr>
          <w:b w:val="0"/>
          <w:i w:val="0"/>
          <w:sz w:val="22"/>
        </w:rPr>
        <w:t>The four-tab dashboard provides:</w:t>
      </w:r>
    </w:p>
    <w:p>
      <w:pPr>
        <w:pStyle w:val="ListBullet"/>
      </w:pPr>
      <w:r>
        <w:rPr>
          <w:b/>
          <w:sz w:val="22"/>
        </w:rPr>
        <w:t xml:space="preserve">Tab 1 — Single Predict: </w:t>
      </w:r>
      <w:r>
        <w:rPr>
          <w:sz w:val="22"/>
        </w:rPr>
        <w:t>Manual entry or sample selection. Plotly gauge chart. Plain-English SHAP explanation. Adverse-action codes for high-risk applicants.</w:t>
      </w:r>
    </w:p>
    <w:p>
      <w:pPr>
        <w:pStyle w:val="ListBullet"/>
      </w:pPr>
      <w:r>
        <w:rPr>
          <w:b/>
          <w:sz w:val="22"/>
        </w:rPr>
        <w:t xml:space="preserve">Tab 2 — What-If Analysis: </w:t>
      </w:r>
      <w:r>
        <w:rPr>
          <w:sz w:val="22"/>
        </w:rPr>
        <w:t>Six key-feature sliders. Real-time risk score update on button press. Credit/income ratio analysis bar chart.</w:t>
      </w:r>
    </w:p>
    <w:p>
      <w:pPr>
        <w:pStyle w:val="ListBullet"/>
      </w:pPr>
      <w:r>
        <w:rPr>
          <w:b/>
          <w:sz w:val="22"/>
        </w:rPr>
        <w:t xml:space="preserve">Tab 3 — Batch Scoring: </w:t>
      </w:r>
      <w:r>
        <w:rPr>
          <w:sz w:val="22"/>
        </w:rPr>
        <w:t>CSV template download. File upload. Backend batch call. Scored table with distribution histogram. Download results CSV.</w:t>
      </w:r>
    </w:p>
    <w:p>
      <w:pPr>
        <w:pStyle w:val="ListBullet"/>
      </w:pPr>
      <w:r>
        <w:rPr>
          <w:b/>
          <w:sz w:val="22"/>
        </w:rPr>
        <w:t xml:space="preserve">Tab 4 — Overview: </w:t>
      </w:r>
      <w:r>
        <w:rPr>
          <w:sz w:val="22"/>
        </w:rPr>
        <w:t>Class imbalance chart. Global feature importance. Cluster persona profiles. Business impact estimate.</w:t>
      </w:r>
    </w:p>
    <w:p/>
    <w:p>
      <w:pPr>
        <w:pStyle w:val="Heading2"/>
      </w:pPr>
      <w:r>
        <w:rPr>
          <w:b/>
          <w:color w:val="3B82D4"/>
        </w:rPr>
        <w:t>11.4  Dashboard UI Screenshots / Mockups</w:t>
      </w:r>
    </w:p>
    <w:p>
      <w:pPr>
        <w:jc w:val="left"/>
      </w:pPr>
      <w:r>
        <w:rPr>
          <w:b w:val="0"/>
          <w:i/>
          <w:sz w:val="20"/>
        </w:rPr>
        <w:t>Note: The screenshots below are wireframe mockups rendered with matplotlib inside the notebook. They are clearly labeled 'UI MOCKUP'. To replace with live screenshots: run 'streamlit run frontend/app.py' locally and capture the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112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_inp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17: UI Mockup — Applicant Input Form &amp; Risk Assessment Tab</w:t>
        <w:br/>
        <w:t>[UI MOCKUP — replace with live screenshot after running: streamlit run frontend/app.py]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61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_resul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6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18: UI Mockup — Prediction Results with Gauge, Explanation &amp; Adverse-Action Codes</w:t>
        <w:br/>
        <w:t>[UI MOCKUP — replace with live screenshot after running: streamlit run frontend/app.py]</w:t>
      </w:r>
    </w:p>
    <w:p/>
    <w:p>
      <w:r>
        <w:br w:type="page"/>
      </w:r>
    </w:p>
    <w:p>
      <w:pPr>
        <w:pStyle w:val="Heading1"/>
      </w:pPr>
      <w:r>
        <w:rPr>
          <w:b/>
          <w:color w:val="1E3A5F"/>
        </w:rPr>
        <w:t>12. Conclusion &amp; Future Scope</w:t>
      </w:r>
    </w:p>
    <w:p>
      <w:pPr>
        <w:jc w:val="left"/>
      </w:pPr>
      <w:r>
        <w:rPr>
          <w:b w:val="0"/>
          <w:i w:val="0"/>
          <w:sz w:val="22"/>
        </w:rPr>
        <w:t>This project delivers a complete, submission-ready AI-powered credit risk assessment system that goes well beyond standard academic projects. Every component — feature engineering, model selection, explainability, fairness auditing, clustering, and deployment — is implemented, tested, integrated, and documented. The system achieves competitive ROC-AUC (≈0.785) and PR-AUC (≈0.328) on a severely imbalanced real-world problem, while providing regulatory-grade transparency through SHAP-driven adverse-action codes and an honest demographic fairness audit aligned with SDG 10.</w:t>
      </w:r>
    </w:p>
    <w:p>
      <w:pPr>
        <w:jc w:val="left"/>
      </w:pPr>
      <w:r>
        <w:rPr>
          <w:b/>
          <w:i w:val="0"/>
          <w:sz w:val="22"/>
        </w:rPr>
        <w:br/>
        <w:t>Future Work:</w:t>
      </w:r>
    </w:p>
    <w:p>
      <w:pPr>
        <w:pStyle w:val="ListBullet"/>
      </w:pPr>
      <w:r>
        <w:rPr>
          <w:sz w:val="22"/>
        </w:rPr>
        <w:t>Counterfactual fairness (What would need to change for this applicant to be approved?)</w:t>
      </w:r>
    </w:p>
    <w:p>
      <w:pPr>
        <w:pStyle w:val="ListBullet"/>
      </w:pPr>
      <w:r>
        <w:rPr>
          <w:sz w:val="22"/>
        </w:rPr>
        <w:t>Per-group threshold calibration to actively reduce disparate impact</w:t>
      </w:r>
    </w:p>
    <w:p>
      <w:pPr>
        <w:pStyle w:val="ListBullet"/>
      </w:pPr>
      <w:r>
        <w:rPr>
          <w:sz w:val="22"/>
        </w:rPr>
        <w:t>Real-time feature store integration for online scoring at scale</w:t>
      </w:r>
    </w:p>
    <w:p>
      <w:pPr>
        <w:pStyle w:val="ListBullet"/>
      </w:pPr>
      <w:r>
        <w:rPr>
          <w:sz w:val="22"/>
        </w:rPr>
        <w:t>Model monitoring and concept-drift detection (PSI, KS test monthly)</w:t>
      </w:r>
    </w:p>
    <w:p>
      <w:pPr>
        <w:pStyle w:val="ListBullet"/>
      </w:pPr>
      <w:r>
        <w:rPr>
          <w:sz w:val="22"/>
        </w:rPr>
        <w:t>Federated learning to train across institutions without sharing raw data</w:t>
      </w:r>
    </w:p>
    <w:p>
      <w:pPr>
        <w:pStyle w:val="ListBullet"/>
      </w:pPr>
      <w:r>
        <w:rPr>
          <w:sz w:val="22"/>
        </w:rPr>
        <w:t>LLM-powered natural language explanation generation (GPT/Gemini integration)</w:t>
      </w:r>
    </w:p>
    <w:p>
      <w:pPr>
        <w:pStyle w:val="ListBullet"/>
      </w:pPr>
      <w:r>
        <w:rPr>
          <w:sz w:val="22"/>
        </w:rPr>
        <w:t>Mobile-friendly dashboard and WhatsApp/SMS notification for loan officers</w:t>
      </w:r>
    </w:p>
    <w:p>
      <w:r>
        <w:br w:type="page"/>
      </w:r>
    </w:p>
    <w:p>
      <w:pPr>
        <w:pStyle w:val="Heading1"/>
      </w:pPr>
      <w:r>
        <w:rPr>
          <w:b/>
          <w:color w:val="1E3A5F"/>
        </w:rPr>
        <w:t>Appendix A — Model Card</w:t>
      </w:r>
    </w:p>
    <w:p>
      <w:pPr>
        <w:jc w:val="left"/>
      </w:pPr>
      <w:r>
        <w:rPr>
          <w:b w:val="0"/>
          <w:i w:val="0"/>
          <w:sz w:val="22"/>
        </w:rPr>
        <w:t>The Model Card provides a standardised summary for accountability and governance, following the Mitchell et al. (2019) framework.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Model Name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Credit Risk Default Classifier v1.0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Model Type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XGBoost Gradient Boosted Trees (binary classification)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Intended Use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Screen loan applications for default risk; generate explanations for loan officers. NOT for fully automated rejection without human review.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Out-of-Scope Uses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Criminal risk scoring, hiring, insurance, or any use case outside supervised consumer lending. Not validated for non-Home Credit distributions.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Training Data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Kaggle Home Credit Default Risk — application_train.csv (307,511 rows, 70% training split) + bureau.csv aggregated features.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Evaluation Data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Stratified held-out test set (15% ≈ 46,127 rows) + 5-fold CV on training data.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Primary Metric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PR-AUC (preferred over ROC-AUC given ~11:1 class imbalance).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ROC-AUC ≈ 0.785, PR-AUC ≈ 0.328, Brier Score ≈ 0.069, F1 ≈ 0.378 at optimal threshold. 5-fold CV ROC-AUC ≈ 0.781 ± 0.003.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Known Limitations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EXT_SOURCE_* features are opaque (no source disclosed). Training labels encode historical lending decisions that may embed past discrimination. Thin-file borrowers may be systematically underscored.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Ethical Considerations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Fairness audit performed and disclosed. Human review required before adverse action. Model should never be the sole basis for credit denial.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Maintenance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Retrain at least annually or when population PSI &gt; 0.2. Monitor monthly for concept drift.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Training Date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September 2026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Framework Versions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Python 3.11, scikit-learn 1.5.1, XGBoost 2.0.3, SHAP 0.45.1</w:t>
            </w:r>
          </w:p>
        </w:tc>
      </w:tr>
    </w:tbl>
    <w:p/>
    <w:p>
      <w:pPr>
        <w:pStyle w:val="Heading1"/>
      </w:pPr>
      <w:r>
        <w:rPr>
          <w:b/>
          <w:color w:val="1E3A5F"/>
        </w:rPr>
        <w:t>References</w:t>
      </w:r>
    </w:p>
    <w:p>
      <w:pPr>
        <w:pStyle w:val="ListNumber"/>
      </w:pPr>
      <w:r>
        <w:rPr>
          <w:sz w:val="20"/>
        </w:rPr>
        <w:t>[1]  Home Credit Default Risk. Kaggle Competition, 2018. https://www.kaggle.com/competitions/home-credit-default-risk</w:t>
      </w:r>
    </w:p>
    <w:p>
      <w:pPr>
        <w:pStyle w:val="ListNumber"/>
      </w:pPr>
      <w:r>
        <w:rPr>
          <w:sz w:val="20"/>
        </w:rPr>
        <w:t>[2]  Lundberg, S. M., &amp; Lee, S.-I. (2017). A Unified Approach to Interpreting Model Predictions. NeurIPS 2017.</w:t>
      </w:r>
    </w:p>
    <w:p>
      <w:pPr>
        <w:pStyle w:val="ListNumber"/>
      </w:pPr>
      <w:r>
        <w:rPr>
          <w:sz w:val="20"/>
        </w:rPr>
        <w:t>[3]  Chen, T., &amp; Guestrin, C. (2016). XGBoost: A Scalable Tree Boosting System. KDD 2016.</w:t>
      </w:r>
    </w:p>
    <w:p>
      <w:pPr>
        <w:pStyle w:val="ListNumber"/>
      </w:pPr>
      <w:r>
        <w:rPr>
          <w:sz w:val="20"/>
        </w:rPr>
        <w:t>[4]  Chawla, N. V., Bowyer, K. W., Hall, L. O., &amp; Kegelmeyer, W. P. (2002). SMOTE: Synthetic Minority Over-sampling Technique. JAIR, 16.</w:t>
      </w:r>
    </w:p>
    <w:p>
      <w:pPr>
        <w:pStyle w:val="ListNumber"/>
      </w:pPr>
      <w:r>
        <w:rPr>
          <w:sz w:val="20"/>
        </w:rPr>
        <w:t>[5]  Hardt, M., Price, E., &amp; Srebro, N. (2016). Equality of Opportunity in Supervised Learning. NeurIPS 2016.</w:t>
      </w:r>
    </w:p>
    <w:p>
      <w:pPr>
        <w:pStyle w:val="ListNumber"/>
      </w:pPr>
      <w:r>
        <w:rPr>
          <w:sz w:val="20"/>
        </w:rPr>
        <w:t>[6]  Mitchell, M., et al. (2019). Model Cards for Model Reporting. FAccT 2019.</w:t>
      </w:r>
    </w:p>
    <w:p>
      <w:pPr>
        <w:pStyle w:val="ListNumber"/>
      </w:pPr>
      <w:r>
        <w:rPr>
          <w:sz w:val="20"/>
        </w:rPr>
        <w:t>[7]  United Nations. Sustainable Development Goals. https://sdgs.un.org/goals</w:t>
      </w:r>
    </w:p>
    <w:p>
      <w:pPr>
        <w:pStyle w:val="ListNumber"/>
      </w:pPr>
      <w:r>
        <w:rPr>
          <w:sz w:val="20"/>
        </w:rPr>
        <w:t>[8]  FastAPI Documentation. https://fastapi.tiangolo.com/</w:t>
      </w:r>
    </w:p>
    <w:p>
      <w:pPr>
        <w:pStyle w:val="ListNumber"/>
      </w:pPr>
      <w:r>
        <w:rPr>
          <w:sz w:val="20"/>
        </w:rPr>
        <w:t>[9]  Streamlit Documentation. https://docs.streamlit.io/</w:t>
      </w:r>
    </w:p>
    <w:p>
      <w:pPr>
        <w:pStyle w:val="ListNumber"/>
      </w:pPr>
      <w:r>
        <w:rPr>
          <w:sz w:val="20"/>
        </w:rPr>
        <w:t>[10] IBM SkillsBuild. BharatCares/AICTE Academic Internship 2026. https://skillsbuild.org/</w:t>
      </w:r>
    </w:p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