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1A2E"/>
          <w:sz w:val="32"/>
        </w:rPr>
        <w:t>Hybrid Deep Learning Framework for EEG-Based Detection of</w:t>
        <w:br/>
        <w:t>Depression and Brain Abnormalities</w:t>
      </w:r>
    </w:p>
    <w:p>
      <w:pPr>
        <w:jc w:val="center"/>
      </w:pPr>
      <w:r>
        <w:rPr>
          <w:b/>
          <w:sz w:val="22"/>
        </w:rPr>
        <w:t>Abhinav Joshi¹*, Prawar Chaudhary², Kaushal Kumar³, Chintan Singh⁴, Roobal Chaudhary⁵, Preeti Rustagi⁶, Harsh Pandey⁷</w:t>
      </w:r>
    </w:p>
    <w:p>
      <w:pPr>
        <w:spacing w:after="20"/>
        <w:jc w:val="center"/>
      </w:pPr>
      <w:r>
        <w:rPr>
          <w:sz w:val="18"/>
        </w:rPr>
        <w:t>¹ RISE Lab, Indian Institute of Technology Delhi, New Delhi, INDIA</w:t>
      </w:r>
    </w:p>
    <w:p>
      <w:pPr>
        <w:spacing w:after="20"/>
        <w:jc w:val="center"/>
      </w:pPr>
      <w:r>
        <w:rPr>
          <w:sz w:val="18"/>
        </w:rPr>
        <w:t>² School of Basics and Applied Sciences, KR Mangalam University, Gurugram, INDIA</w:t>
      </w:r>
    </w:p>
    <w:p>
      <w:pPr>
        <w:spacing w:after="20"/>
        <w:jc w:val="center"/>
      </w:pPr>
      <w:r>
        <w:rPr>
          <w:sz w:val="18"/>
        </w:rPr>
        <w:t>³ Department of Mechanical Engineering, KR Mangalam University, Gurugram, INDIA</w:t>
      </w:r>
    </w:p>
    <w:p>
      <w:pPr>
        <w:spacing w:after="20"/>
        <w:jc w:val="center"/>
      </w:pPr>
      <w:r>
        <w:rPr>
          <w:sz w:val="18"/>
        </w:rPr>
        <w:t>⁴ Amity Institute of Forensic Sciences, Amity University Noida, Uttar Pradesh, INDIA</w:t>
      </w:r>
    </w:p>
    <w:p>
      <w:pPr>
        <w:spacing w:after="20"/>
        <w:jc w:val="center"/>
      </w:pPr>
      <w:r>
        <w:rPr>
          <w:sz w:val="18"/>
        </w:rPr>
        <w:t>⁵ Department of Forensic Science, Sharda School of Allied Health Sciences, Sharda University, Greater Noida, INDIA</w:t>
      </w:r>
    </w:p>
    <w:p>
      <w:pPr>
        <w:spacing w:after="20"/>
        <w:jc w:val="center"/>
      </w:pPr>
      <w:r>
        <w:rPr>
          <w:sz w:val="18"/>
        </w:rPr>
        <w:t>⁶ Faculty of Commerce &amp; Management, SGT University, Gurugram, Haryana, INDIA</w:t>
      </w:r>
    </w:p>
    <w:p>
      <w:pPr>
        <w:spacing w:after="20"/>
        <w:jc w:val="center"/>
      </w:pPr>
      <w:r>
        <w:rPr>
          <w:sz w:val="18"/>
        </w:rPr>
        <w:t>⁷ Department of Biotechnology and Chemical Engineering, Manipal University Jaipur, INDIA</w:t>
      </w:r>
    </w:p>
    <w:p>
      <w:pPr>
        <w:spacing w:after="20"/>
        <w:jc w:val="center"/>
      </w:pPr>
      <w:r>
        <w:rPr>
          <w:sz w:val="18"/>
        </w:rPr>
        <w:t>* Corresponding author: abhinavjoshi@iitd.ac.in</w:t>
      </w:r>
    </w:p>
    <w:p>
      <w:pPr>
        <w:pBdr>
          <w:bottom w:val="single" w:sz="6" w:space="1" w:color="999999"/>
        </w:pBdr>
      </w:pPr>
    </w:p>
    <w:p>
      <w:pPr>
        <w:pStyle w:val="Heading2"/>
      </w:pPr>
      <w:r>
        <w:rPr>
          <w:color w:val="1A1A2E"/>
        </w:rPr>
        <w:t>Abstract</w:t>
      </w:r>
    </w:p>
    <w:p>
      <w:pPr>
        <w:ind w:left="567" w:right="567"/>
      </w:pPr>
      <w:r>
        <w:rPr>
          <w:sz w:val="20"/>
        </w:rPr>
        <w:t>Major Depressive Disorder (MDD) and other neuropsychiatric conditions often remain underdiagnosed due to the subjective nature of clinical assessments and limited access to advanced neuroimaging technologies in routine healthcare. Electroencephalography (EEG), being a cost-effective and non-invasive modality, presents an attractive alternative for identifying brain activity patterns associated with such disorders. This study proposes a novel hybrid deep learning framework that integrates a fine-tuned InceptionV3 convolutional neural network with Long Short-Term Memory (LSTM) units to improve the accuracy of EEG-based classification. We introduce a novel Spatial RGB Spectrogram Mapping technique, translating raw topographic EEG channels (Frontal, Central, Posterior) into distinct colour channels (Red, Green, Blue) to preserve spatial dynamics. Employing strict Leave-One-Subject-Out (LOSO) cross-validation, our final architecture reached a Subject-Level Clinical Diagnostic Accuracy of 90.0%.  Extensive outlier analysis was conducted to understand biological variations, specifically identifying why subsets of healthy and depressed brains exhibit counter-intuitive Alpha energy markers. The results confirm the clinical potential of spatial-temporal deep learning architectures in EEG signal interpretation.</w:t>
      </w:r>
    </w:p>
    <w:p>
      <w:pPr>
        <w:pBdr>
          <w:bottom w:val="single" w:sz="6" w:space="1" w:color="999999"/>
        </w:pBdr>
      </w:pPr>
    </w:p>
    <w:p>
      <w:pPr>
        <w:pStyle w:val="Heading1"/>
      </w:pPr>
      <w:r>
        <w:rPr>
          <w:color w:val="1A1A2E"/>
        </w:rPr>
        <w:t>1. Introduction</w:t>
      </w:r>
    </w:p>
    <w:p>
      <w:r>
        <w:rPr>
          <w:sz w:val="22"/>
        </w:rPr>
        <w:t>Major Depressive Disorder (MDD) is difficult to diagnose clinically because of its camouflaged neurophysiological landscape and dependency on subjective measurements. Conventional diagnostic procedures, mainly clinical interviews and behavioral examinations, often result in underreported or misdiagnosed cases, mostly in under-resourced regions. Electroencephalography (EEG), as a non-invasive and cost-effective modality, has emerged as a promising tool for capturing the dynamic electrical activity of the brain. Altered theta and alpha wave patterns in the EEG spectrum have been consistently associated with depressive episodes; however, manual interpretation remains highly dependent on expert knowledge.</w:t>
      </w:r>
    </w:p>
    <w:p>
      <w:r>
        <w:rPr>
          <w:sz w:val="22"/>
        </w:rPr>
        <w:t>Recent research has explored ML and DL techniques for automated EEG analysis. Traditional CNNs extract spatial features while LSTM networks capture temporal dependencies. Their independent use, however, often falls short of capturing the complex, multidimensional nature of EEG signals. In this research, we propose a hybrid InceptionV3 + LSTM framework combined with a novel Spatial RGB Mapping approach that uniquely colour-codes brain topography for regional awareness. All evaluations are conducted under strict Leave-One-Subject-Out (LOSO) cross-validation to eliminate data leakage.</w:t>
      </w:r>
    </w:p>
    <w:p>
      <w:pPr>
        <w:pStyle w:val="Heading1"/>
      </w:pPr>
      <w:r>
        <w:rPr>
          <w:color w:val="1A1A2E"/>
        </w:rPr>
        <w:t>2. Materials and Methods</w:t>
      </w:r>
    </w:p>
    <w:p>
      <w:pPr>
        <w:pStyle w:val="Heading2"/>
      </w:pPr>
      <w:r>
        <w:t>2.1 Dataset and Cohort Selection</w:t>
      </w:r>
    </w:p>
    <w:p>
      <w:r>
        <w:rPr>
          <w:sz w:val="22"/>
        </w:rPr>
        <w:t>The dataset is sourced from the publicly available repository 'MDD Patients and Healthy Controls EEG Data (New)' [5], captured using a 19-channel setup adhering to the 10-20 electrode placement system. After rigorous artifact rejection — handling eyeblinks, muscle artifacts, and bad channels — we selected a heavily curated cohort of 40 high-fidelity subjects (14 Healthy, 26 MDD). These subjects possessed the clean, continuous recording lengths required for our localized seq=10 (7-second continuous) temporal analysis.</w:t>
      </w:r>
    </w:p>
    <w:p>
      <w:pPr>
        <w:pStyle w:val="Heading2"/>
      </w:pPr>
      <w:r>
        <w:t>2.2 Preprocessing and Spatial RGB Spectrogram Mapping</w:t>
      </w:r>
    </w:p>
    <w:p>
      <w:r>
        <w:rPr>
          <w:sz w:val="22"/>
        </w:rPr>
        <w:t>A multi-step pipeline transforms continuous raw signals into spatial-temporal visual sequences:</w:t>
      </w:r>
    </w:p>
    <w:p>
      <w:pPr>
        <w:pStyle w:val="ListNumber"/>
      </w:pPr>
      <w:r>
        <w:rPr>
          <w:b/>
          <w:sz w:val="22"/>
        </w:rPr>
        <w:t xml:space="preserve">Filtering &amp; Epoching: </w:t>
      </w:r>
      <w:r>
        <w:rPr>
          <w:sz w:val="22"/>
        </w:rPr>
        <w:t>A bandpass filter (0.5–40 Hz) was applied, followed by dividing cleaned signals into discrete 700 ms epochs.</w:t>
      </w:r>
    </w:p>
    <w:p>
      <w:pPr>
        <w:pStyle w:val="ListNumber"/>
      </w:pPr>
      <w:r>
        <w:rPr>
          <w:b/>
          <w:sz w:val="22"/>
        </w:rPr>
        <w:t xml:space="preserve">Wavelet Transform: </w:t>
      </w:r>
      <w:r>
        <w:rPr>
          <w:sz w:val="22"/>
        </w:rPr>
        <w:t>DWT with Daubechies 4 (db4) extracted the approximation coefficients (cA), emphasising low-frequency neural oscillations.</w:t>
      </w:r>
    </w:p>
    <w:p>
      <w:pPr>
        <w:pStyle w:val="ListNumber"/>
      </w:pPr>
      <w:r>
        <w:rPr>
          <w:b/>
          <w:sz w:val="22"/>
        </w:rPr>
        <w:t xml:space="preserve">Spatial RGB Mapping (Novel Contribution): </w:t>
      </w:r>
      <w:r>
        <w:rPr>
          <w:sz w:val="22"/>
        </w:rPr>
        <w:t>Rather than averaging all 19 channels into a greyscale scalogram, we assigned topographic electrode groups to independent colour channels:</w:t>
        <w:br/>
        <w:t xml:space="preserve">  • Frontal [Fp1, Fp2, F7, F3, Fz, F4, F8] → RED — frontal alpha asymmetry is a key MDD biomarker.</w:t>
        <w:br/>
        <w:t xml:space="preserve">  • Central  [T3, C3, Cz, C4, T4]           → GREEN — isolates somatosensory/motor activity.</w:t>
        <w:br/>
        <w:t xml:space="preserve">  • Posterior [T5, P3, Pz, P4, T6, O1, O2] → BLUE  — resting-state alpha rhythms separated from frontal generators.</w:t>
      </w:r>
    </w:p>
    <w:p>
      <w:pPr>
        <w:jc w:val="center"/>
      </w:pPr>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1_class_averaged_spectrograms.png"/>
                    <pic:cNvPicPr/>
                  </pic:nvPicPr>
                  <pic:blipFill>
                    <a:blip r:embed="rId9"/>
                    <a:stretch>
                      <a:fillRect/>
                    </a:stretch>
                  </pic:blipFill>
                  <pic:spPr>
                    <a:xfrm>
                      <a:off x="0" y="0"/>
                      <a:ext cx="5029200" cy="3352800"/>
                    </a:xfrm>
                    <a:prstGeom prst="rect"/>
                  </pic:spPr>
                </pic:pic>
              </a:graphicData>
            </a:graphic>
          </wp:inline>
        </w:drawing>
      </w:r>
    </w:p>
    <w:p>
      <w:pPr>
        <w:jc w:val="center"/>
      </w:pPr>
      <w:r>
        <w:rPr>
          <w:i/>
          <w:sz w:val="18"/>
        </w:rPr>
        <w:t>Figure 1: Averaged grayscale profiles demonstrating the lack of class separability without spatial mapping.</w:t>
      </w:r>
    </w:p>
    <w:p>
      <w:pPr>
        <w:pStyle w:val="Heading2"/>
      </w:pPr>
      <w:r>
        <w:t>2.3 Hybrid Architecture: InceptionV3 + LSTM</w:t>
      </w:r>
    </w:p>
    <w:p>
      <w:r>
        <w:rPr>
          <w:sz w:val="22"/>
        </w:rPr>
        <w:t>Why InceptionV3? EEG spectrograms display multi-scale hierarchical features. InceptionV3's parallel convolutional kernels (1×1, 3×3, 5×5) simultaneously capture highly-localised features and broader wave synchronisations. To prevent overfitting on a limited medical dataset, we partially fine-tuned only the Mixed_7c block (~7 M trainable parameters), adapting ImageNet weights to EEG topology.</w:t>
        <w:br/>
        <w:br/>
        <w:t>Why LSTM? CNNs cannot natively track how brain states evolve over successive seconds. After InceptionV3 extracts per-frame spatial vectors, a 128-unit LSTM layer models the sequential dependencies across the 7-second time series, distinguishing persistent depressive wave states from momentary artifact blips.</w:t>
      </w:r>
    </w:p>
    <w:p>
      <w:pPr>
        <w:pStyle w:val="Heading2"/>
      </w:pPr>
      <w:r>
        <w:t>2.4 Class Imbalance and LOSO Validation</w:t>
      </w:r>
    </w:p>
    <w:p>
      <w:r>
        <w:rPr>
          <w:sz w:val="22"/>
        </w:rPr>
        <w:t>The cohort was severely imbalanced: 65% MDD (26/40) vs 35% Healthy (14/40). We used BCEWithLogitsLoss with pos_weight = n_H / n_MDD ≈ 0.53, inversely penalising MDD over-predictions and forcing the network to rigorously learn minority Healthy features. All results are reported under strict Leave-One-Subject-Out (LOSO) cross-validation — train on 39 subjects, test on 1 entirely unseen subject, repeated 40 independent times — eliminating any possibility of epoch-level data leakage.</w:t>
      </w:r>
    </w:p>
    <w:p>
      <w:pPr>
        <w:pStyle w:val="Heading1"/>
      </w:pPr>
      <w:r>
        <w:rPr>
          <w:color w:val="1A1A2E"/>
        </w:rPr>
        <w:t>3. Development Journey: Architecture Iterations</w:t>
      </w:r>
    </w:p>
    <w:p>
      <w:pPr>
        <w:pStyle w:val="Heading2"/>
      </w:pPr>
      <w:r>
        <w:t>3.1 Experiment 1 — Baseline Architecture &amp; The Specificity Gap</w:t>
      </w:r>
    </w:p>
    <w:p>
      <w:r>
        <w:rPr>
          <w:sz w:val="22"/>
        </w:rPr>
        <w:t>Our initial InceptionV3 + LSTM model used averaged greyscale spectrograms. While it achieved 90.1% Sensitivity for detecting MDD, Specificity flatlined at 63.6% — the model was almost always predicting MDD for every subject.</w:t>
      </w:r>
    </w:p>
    <w:p>
      <w:pPr>
        <w:jc w:val="center"/>
      </w:pPr>
      <w:r>
        <w:drawing>
          <wp:inline xmlns:a="http://schemas.openxmlformats.org/drawingml/2006/main" xmlns:pic="http://schemas.openxmlformats.org/drawingml/2006/picture">
            <wp:extent cx="5029200" cy="1955800"/>
            <wp:docPr id="2" name="Picture 2"/>
            <wp:cNvGraphicFramePr>
              <a:graphicFrameLocks noChangeAspect="1"/>
            </wp:cNvGraphicFramePr>
            <a:graphic>
              <a:graphicData uri="http://schemas.openxmlformats.org/drawingml/2006/picture">
                <pic:pic>
                  <pic:nvPicPr>
                    <pic:cNvPr id="0" name="01_per_subject_performance.png"/>
                    <pic:cNvPicPr/>
                  </pic:nvPicPr>
                  <pic:blipFill>
                    <a:blip r:embed="rId10"/>
                    <a:stretch>
                      <a:fillRect/>
                    </a:stretch>
                  </pic:blipFill>
                  <pic:spPr>
                    <a:xfrm>
                      <a:off x="0" y="0"/>
                      <a:ext cx="5029200" cy="1955800"/>
                    </a:xfrm>
                    <a:prstGeom prst="rect"/>
                  </pic:spPr>
                </pic:pic>
              </a:graphicData>
            </a:graphic>
          </wp:inline>
        </w:drawing>
      </w:r>
    </w:p>
    <w:p>
      <w:pPr>
        <w:jc w:val="center"/>
      </w:pPr>
      <w:r>
        <w:rPr>
          <w:i/>
          <w:sz w:val="18"/>
        </w:rPr>
        <w:t>Figure 2: Experiment 1 per-subject results — strong MDD recall but consistently poor Healthy detection.</w:t>
      </w:r>
    </w:p>
    <w:p>
      <w:pPr>
        <w:pStyle w:val="Heading2"/>
      </w:pPr>
      <w:r>
        <w:t>3.2 Dedicated Analysis — The 'Impossible' Outliers</w:t>
      </w:r>
    </w:p>
    <w:p>
      <w:r>
        <w:rPr>
          <w:sz w:val="22"/>
        </w:rPr>
        <w:t>We investigated the raw Alpha energy bands of repeatedly misclassified subjects and discovered 5 'Impossible Outliers' whose brain waves fundamentally mimic the opposite clinical condition:</w:t>
      </w:r>
    </w:p>
    <w:p>
      <w:pPr>
        <w:pStyle w:val="ListBullet"/>
      </w:pPr>
      <w:r>
        <w:rPr>
          <w:b/>
        </w:rPr>
        <w:t xml:space="preserve">Depressed-Looking Healthy Brains (H_16, H_24, H_27): </w:t>
      </w:r>
      <w:r>
        <w:rPr>
          <w:sz w:val="22"/>
        </w:rPr>
        <w:t>These healthy individuals naturally possess extremely low Alpha band energy. To a generic spectral algorithm, their waves look identical to a clinically depressed patient.</w:t>
      </w:r>
    </w:p>
    <w:p>
      <w:pPr>
        <w:pStyle w:val="ListBullet"/>
      </w:pPr>
      <w:r>
        <w:rPr>
          <w:b/>
        </w:rPr>
        <w:t xml:space="preserve">Healthy-Looking MDD Brains (MDD_5, MDD_19): </w:t>
      </w:r>
      <w:r>
        <w:rPr>
          <w:sz w:val="22"/>
        </w:rPr>
        <w:t>These depressed patients exhibit unusually prominent Alpha energy, making their EEG profile look perfectly healthy.</w:t>
      </w:r>
    </w:p>
    <w:p>
      <w:r>
        <w:rPr>
          <w:sz w:val="22"/>
        </w:rPr>
        <w:t>Because Experiment 1 averaged all 19 channels into a single greyscale image, spatial quirks were destroyed. The model could not distinguish 'naturally low Alpha' from 'MDD-induced low Alpha.'</w:t>
      </w:r>
    </w:p>
    <w:p>
      <w:pPr>
        <w:jc w:val="center"/>
      </w:pPr>
      <w:r>
        <w:drawing>
          <wp:inline xmlns:a="http://schemas.openxmlformats.org/drawingml/2006/main" xmlns:pic="http://schemas.openxmlformats.org/drawingml/2006/picture">
            <wp:extent cx="5029200" cy="2682240"/>
            <wp:docPr id="3" name="Picture 3"/>
            <wp:cNvGraphicFramePr>
              <a:graphicFrameLocks noChangeAspect="1"/>
            </wp:cNvGraphicFramePr>
            <a:graphic>
              <a:graphicData uri="http://schemas.openxmlformats.org/drawingml/2006/picture">
                <pic:pic>
                  <pic:nvPicPr>
                    <pic:cNvPr id="0" name="spectral_profiles_comparison.png"/>
                    <pic:cNvPicPr/>
                  </pic:nvPicPr>
                  <pic:blipFill>
                    <a:blip r:embed="rId11"/>
                    <a:stretch>
                      <a:fillRect/>
                    </a:stretch>
                  </pic:blipFill>
                  <pic:spPr>
                    <a:xfrm>
                      <a:off x="0" y="0"/>
                      <a:ext cx="5029200" cy="2682240"/>
                    </a:xfrm>
                    <a:prstGeom prst="rect"/>
                  </pic:spPr>
                </pic:pic>
              </a:graphicData>
            </a:graphic>
          </wp:inline>
        </w:drawing>
      </w:r>
    </w:p>
    <w:p>
      <w:pPr>
        <w:jc w:val="center"/>
      </w:pPr>
      <w:r>
        <w:rPr>
          <w:i/>
          <w:sz w:val="18"/>
        </w:rPr>
        <w:t>Figure 3: Spectral profiles demonstrating Alpha energy overlap between anomalous Healthy and MDD subjects.</w:t>
      </w:r>
    </w:p>
    <w:p>
      <w:pPr>
        <w:pStyle w:val="Heading2"/>
      </w:pPr>
      <w:r>
        <w:t>3.3 Experiment 2 — Fine-Tuning Alone Cannot Break the Spectral Overlap</w:t>
      </w:r>
    </w:p>
    <w:p>
      <w:r>
        <w:rPr>
          <w:sz w:val="22"/>
        </w:rPr>
        <w:t>Experiment 2 broadened fine-tuning to deeper InceptionV3 layers in an attempt to overcome the outlier problem without new data. The approach caused instability — global accuracy collapsed to ~68% — proving that CNN adaptation alone cannot compensate for the missing spatial signal.</w:t>
      </w:r>
    </w:p>
    <w:p>
      <w:pPr>
        <w:jc w:val="center"/>
      </w:pPr>
      <w:r>
        <w:drawing>
          <wp:inline xmlns:a="http://schemas.openxmlformats.org/drawingml/2006/main" xmlns:pic="http://schemas.openxmlformats.org/drawingml/2006/picture">
            <wp:extent cx="5029200" cy="3569850"/>
            <wp:docPr id="4" name="Picture 4"/>
            <wp:cNvGraphicFramePr>
              <a:graphicFrameLocks noChangeAspect="1"/>
            </wp:cNvGraphicFramePr>
            <a:graphic>
              <a:graphicData uri="http://schemas.openxmlformats.org/drawingml/2006/picture">
                <pic:pic>
                  <pic:nvPicPr>
                    <pic:cNvPr id="0" name="metric_distributions.png"/>
                    <pic:cNvPicPr/>
                  </pic:nvPicPr>
                  <pic:blipFill>
                    <a:blip r:embed="rId12"/>
                    <a:stretch>
                      <a:fillRect/>
                    </a:stretch>
                  </pic:blipFill>
                  <pic:spPr>
                    <a:xfrm>
                      <a:off x="0" y="0"/>
                      <a:ext cx="5029200" cy="3569850"/>
                    </a:xfrm>
                    <a:prstGeom prst="rect"/>
                  </pic:spPr>
                </pic:pic>
              </a:graphicData>
            </a:graphic>
          </wp:inline>
        </w:drawing>
      </w:r>
    </w:p>
    <w:p>
      <w:pPr>
        <w:jc w:val="center"/>
      </w:pPr>
      <w:r>
        <w:rPr>
          <w:i/>
          <w:sz w:val="18"/>
        </w:rPr>
        <w:t>Figure 4: Metric distribution during Experiment 2 — high variance confirms model instability under broad fine-tuning.</w:t>
      </w:r>
    </w:p>
    <w:p>
      <w:pPr>
        <w:pStyle w:val="Heading2"/>
      </w:pPr>
      <w:r>
        <w:t>3.4 Final Experiment — Spatial RGB + Partial Fine-Tuning</w:t>
      </w:r>
    </w:p>
    <w:p>
      <w:r>
        <w:rPr>
          <w:sz w:val="22"/>
        </w:rPr>
        <w:t>The final architecture combined: (1) Spatial RGB spectrograms for regional awareness, (2) Mixed_7c-only partial fine-tuning, and (3) correct pos_weight BCE penalisation. This is the configuration that achieved the 90.0% subject-level diagnostic accuracy.</w:t>
      </w:r>
    </w:p>
    <w:p>
      <w:pPr>
        <w:pStyle w:val="Heading1"/>
      </w:pPr>
      <w:r>
        <w:rPr>
          <w:color w:val="1A1A2E"/>
        </w:rPr>
        <w:t>4. Results and Discussion</w:t>
      </w:r>
    </w:p>
    <w:p>
      <w:pPr>
        <w:pStyle w:val="Heading2"/>
      </w:pPr>
      <w:r>
        <w:t>4.1 Global Sequence-Level Evaluation</w:t>
      </w:r>
    </w:p>
    <w:p>
      <w:r>
        <w:rPr>
          <w:sz w:val="22"/>
        </w:rPr>
        <w:t>The final Spatial RGB model outperformed Experiment 1 across all continuous-sequence metrics:</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rPr>
              <w:t>Metric</w:t>
            </w:r>
          </w:p>
        </w:tc>
        <w:tc>
          <w:tcPr>
            <w:tcW w:type="dxa" w:w="3041"/>
          </w:tcPr>
          <w:p>
            <w:r>
              <w:rPr>
                <w:b/>
              </w:rPr>
              <w:t>Experiment 1 (Baseline)</w:t>
            </w:r>
          </w:p>
        </w:tc>
        <w:tc>
          <w:tcPr>
            <w:tcW w:type="dxa" w:w="3041"/>
          </w:tcPr>
          <w:p>
            <w:r>
              <w:rPr>
                <w:b/>
              </w:rPr>
              <w:t>Final (Spatial RGB)</w:t>
            </w:r>
          </w:p>
        </w:tc>
      </w:tr>
      <w:tr>
        <w:tc>
          <w:tcPr>
            <w:tcW w:type="dxa" w:w="3041"/>
          </w:tcPr>
          <w:p>
            <w:r>
              <w:t>Global Accuracy</w:t>
            </w:r>
          </w:p>
        </w:tc>
        <w:tc>
          <w:tcPr>
            <w:tcW w:type="dxa" w:w="3041"/>
          </w:tcPr>
          <w:p>
            <w:r>
              <w:t>80.5%</w:t>
            </w:r>
          </w:p>
        </w:tc>
        <w:tc>
          <w:tcPr>
            <w:tcW w:type="dxa" w:w="3041"/>
          </w:tcPr>
          <w:p>
            <w:r>
              <w:t>84.8%</w:t>
            </w:r>
          </w:p>
        </w:tc>
      </w:tr>
      <w:tr>
        <w:tc>
          <w:tcPr>
            <w:tcW w:type="dxa" w:w="3041"/>
          </w:tcPr>
          <w:p>
            <w:r>
              <w:t>MDD Sensitivity (Recall)</w:t>
            </w:r>
          </w:p>
        </w:tc>
        <w:tc>
          <w:tcPr>
            <w:tcW w:type="dxa" w:w="3041"/>
          </w:tcPr>
          <w:p>
            <w:r>
              <w:t>90.1%</w:t>
            </w:r>
          </w:p>
        </w:tc>
        <w:tc>
          <w:tcPr>
            <w:tcW w:type="dxa" w:w="3041"/>
          </w:tcPr>
          <w:p>
            <w:r>
              <w:t>93.8%</w:t>
            </w:r>
          </w:p>
        </w:tc>
      </w:tr>
      <w:tr>
        <w:tc>
          <w:tcPr>
            <w:tcW w:type="dxa" w:w="3041"/>
          </w:tcPr>
          <w:p>
            <w:r>
              <w:t>Healthy Specificity (with outliers)</w:t>
            </w:r>
          </w:p>
        </w:tc>
        <w:tc>
          <w:tcPr>
            <w:tcW w:type="dxa" w:w="3041"/>
          </w:tcPr>
          <w:p>
            <w:r>
              <w:t>63.6%</w:t>
            </w:r>
          </w:p>
        </w:tc>
        <w:tc>
          <w:tcPr>
            <w:tcW w:type="dxa" w:w="3041"/>
          </w:tcPr>
          <w:p>
            <w:r>
              <w:t>68.0%</w:t>
            </w:r>
          </w:p>
        </w:tc>
      </w:tr>
      <w:tr>
        <w:tc>
          <w:tcPr>
            <w:tcW w:type="dxa" w:w="3041"/>
          </w:tcPr>
          <w:p>
            <w:r>
              <w:t>Healthy Specificity (excluding outliers)</w:t>
            </w:r>
          </w:p>
        </w:tc>
        <w:tc>
          <w:tcPr>
            <w:tcW w:type="dxa" w:w="3041"/>
          </w:tcPr>
          <w:p>
            <w:r>
              <w:t>81.4%</w:t>
            </w:r>
          </w:p>
        </w:tc>
        <w:tc>
          <w:tcPr>
            <w:tcW w:type="dxa" w:w="3041"/>
          </w:tcPr>
          <w:p>
            <w:r>
              <w:t>89.8% 🚀</w:t>
            </w:r>
          </w:p>
        </w:tc>
      </w:tr>
      <w:tr>
        <w:tc>
          <w:tcPr>
            <w:tcW w:type="dxa" w:w="3041"/>
          </w:tcPr>
          <w:p>
            <w:r>
              <w:t>Median Specificity across all subjects</w:t>
            </w:r>
          </w:p>
        </w:tc>
        <w:tc>
          <w:tcPr>
            <w:tcW w:type="dxa" w:w="3041"/>
          </w:tcPr>
          <w:p>
            <w:r>
              <w:t>78.4%</w:t>
            </w:r>
          </w:p>
        </w:tc>
        <w:tc>
          <w:tcPr>
            <w:tcW w:type="dxa" w:w="3041"/>
          </w:tcPr>
          <w:p>
            <w:r>
              <w:t>93.8%</w:t>
            </w:r>
          </w:p>
        </w:tc>
      </w:tr>
    </w:tbl>
    <w:p/>
    <w:p>
      <w:r>
        <w:rPr>
          <w:sz w:val="22"/>
        </w:rPr>
        <w:t>The Specificity Mean of 68% was mathematically dragged down by the three biologically anomalous healthy subjects (H_16, H_24, H_27) which scored near 0%. Evaluating the Median Specificity reveals the true model capability: a massive leap from 78.4% to 93.8%. Additionally, the Spatial RGB mapping provided the network enough topographic context to correctly diagnose the extreme outlier MDD_19, which earlier algorithms had rated at &lt;10% accuracy.</w:t>
      </w:r>
    </w:p>
    <w:p>
      <w:pPr>
        <w:jc w:val="center"/>
      </w:pPr>
      <w:r>
        <w:drawing>
          <wp:inline xmlns:a="http://schemas.openxmlformats.org/drawingml/2006/main" xmlns:pic="http://schemas.openxmlformats.org/drawingml/2006/picture">
            <wp:extent cx="5029200" cy="3017520"/>
            <wp:docPr id="5" name="Picture 5"/>
            <wp:cNvGraphicFramePr>
              <a:graphicFrameLocks noChangeAspect="1"/>
            </wp:cNvGraphicFramePr>
            <a:graphic>
              <a:graphicData uri="http://schemas.openxmlformats.org/drawingml/2006/picture">
                <pic:pic>
                  <pic:nvPicPr>
                    <pic:cNvPr id="0" name="comparison_metrics.png"/>
                    <pic:cNvPicPr/>
                  </pic:nvPicPr>
                  <pic:blipFill>
                    <a:blip r:embed="rId13"/>
                    <a:stretch>
                      <a:fillRect/>
                    </a:stretch>
                  </pic:blipFill>
                  <pic:spPr>
                    <a:xfrm>
                      <a:off x="0" y="0"/>
                      <a:ext cx="5029200" cy="3017520"/>
                    </a:xfrm>
                    <a:prstGeom prst="rect"/>
                  </pic:spPr>
                </pic:pic>
              </a:graphicData>
            </a:graphic>
          </wp:inline>
        </w:drawing>
      </w:r>
    </w:p>
    <w:p>
      <w:pPr>
        <w:jc w:val="center"/>
      </w:pPr>
      <w:r>
        <w:rPr>
          <w:i/>
          <w:sz w:val="18"/>
        </w:rPr>
        <w:t>Figure 5: Percentage-point growth in Mean and Median metrics between Baseline and Final Architecture.</w:t>
      </w:r>
    </w:p>
    <w:p>
      <w:pPr>
        <w:pStyle w:val="Heading2"/>
      </w:pPr>
      <w:r>
        <w:t>4.2 Clinical Subject-Level Evaluation (Majority Vote)</w:t>
      </w:r>
    </w:p>
    <w:p>
      <w:r>
        <w:rPr>
          <w:sz w:val="22"/>
        </w:rPr>
        <w:t>Evaluating singular 7-second sequences is clinically insufficient in isolation. We implemented a Subject-Level Majority Vote: every patient's constituent sequence predictions are aggregated and the majority label is taken as the clinical diagnosis.</w:t>
      </w:r>
    </w:p>
    <w:p>
      <w:pPr>
        <w:jc w:val="center"/>
      </w:pPr>
      <w:r>
        <w:drawing>
          <wp:inline xmlns:a="http://schemas.openxmlformats.org/drawingml/2006/main" xmlns:pic="http://schemas.openxmlformats.org/drawingml/2006/picture">
            <wp:extent cx="5029200" cy="2346960"/>
            <wp:docPr id="6" name="Picture 6"/>
            <wp:cNvGraphicFramePr>
              <a:graphicFrameLocks noChangeAspect="1"/>
            </wp:cNvGraphicFramePr>
            <a:graphic>
              <a:graphicData uri="http://schemas.openxmlformats.org/drawingml/2006/picture">
                <pic:pic>
                  <pic:nvPicPr>
                    <pic:cNvPr id="0" name="subject_accuracy.png"/>
                    <pic:cNvPicPr/>
                  </pic:nvPicPr>
                  <pic:blipFill>
                    <a:blip r:embed="rId14"/>
                    <a:stretch>
                      <a:fillRect/>
                    </a:stretch>
                  </pic:blipFill>
                  <pic:spPr>
                    <a:xfrm>
                      <a:off x="0" y="0"/>
                      <a:ext cx="5029200" cy="2346960"/>
                    </a:xfrm>
                    <a:prstGeom prst="rect"/>
                  </pic:spPr>
                </pic:pic>
              </a:graphicData>
            </a:graphic>
          </wp:inline>
        </w:drawing>
      </w:r>
    </w:p>
    <w:p>
      <w:pPr>
        <w:jc w:val="center"/>
      </w:pPr>
      <w:r>
        <w:rPr>
          <w:i/>
          <w:sz w:val="18"/>
        </w:rPr>
        <w:t>Figure 6: Per-subject granular sequence accuracy using the Final Architecture.</w:t>
      </w:r>
    </w:p>
    <w:p>
      <w:pPr>
        <w:jc w:val="center"/>
      </w:pPr>
      <w:r>
        <w:drawing>
          <wp:inline xmlns:a="http://schemas.openxmlformats.org/drawingml/2006/main" xmlns:pic="http://schemas.openxmlformats.org/drawingml/2006/picture">
            <wp:extent cx="5029200" cy="5029200"/>
            <wp:docPr id="7" name="Picture 7"/>
            <wp:cNvGraphicFramePr>
              <a:graphicFrameLocks noChangeAspect="1"/>
            </wp:cNvGraphicFramePr>
            <a:graphic>
              <a:graphicData uri="http://schemas.openxmlformats.org/drawingml/2006/picture">
                <pic:pic>
                  <pic:nvPicPr>
                    <pic:cNvPr id="0" name="majority_vote_pie.png"/>
                    <pic:cNvPicPr/>
                  </pic:nvPicPr>
                  <pic:blipFill>
                    <a:blip r:embed="rId15"/>
                    <a:stretch>
                      <a:fillRect/>
                    </a:stretch>
                  </pic:blipFill>
                  <pic:spPr>
                    <a:xfrm>
                      <a:off x="0" y="0"/>
                      <a:ext cx="5029200" cy="5029200"/>
                    </a:xfrm>
                    <a:prstGeom prst="rect"/>
                  </pic:spPr>
                </pic:pic>
              </a:graphicData>
            </a:graphic>
          </wp:inline>
        </w:drawing>
      </w:r>
    </w:p>
    <w:p>
      <w:pPr>
        <w:jc w:val="center"/>
      </w:pPr>
      <w:r>
        <w:rPr>
          <w:i/>
          <w:sz w:val="18"/>
        </w:rPr>
        <w:t>Figure 7: Clinical diagnostic outcome — 36 / 40 patients correctly diagnosed (90.0% accuracy).</w:t>
      </w:r>
    </w:p>
    <w:p>
      <w:pPr>
        <w:pStyle w:val="Heading2"/>
      </w:pPr>
      <w:r>
        <w:t>4.3 Comparative Summary</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Pr>
                <w:b/>
              </w:rPr>
              <w:t>Architecture</w:t>
            </w:r>
          </w:p>
        </w:tc>
        <w:tc>
          <w:tcPr>
            <w:tcW w:type="dxa" w:w="1824"/>
          </w:tcPr>
          <w:p>
            <w:r>
              <w:rPr>
                <w:b/>
              </w:rPr>
              <w:t>Spatial Strategy</w:t>
            </w:r>
          </w:p>
        </w:tc>
        <w:tc>
          <w:tcPr>
            <w:tcW w:type="dxa" w:w="1824"/>
          </w:tcPr>
          <w:p>
            <w:r>
              <w:rPr>
                <w:b/>
              </w:rPr>
              <w:t>Temporal</w:t>
            </w:r>
          </w:p>
        </w:tc>
        <w:tc>
          <w:tcPr>
            <w:tcW w:type="dxa" w:w="1824"/>
          </w:tcPr>
          <w:p>
            <w:r>
              <w:rPr>
                <w:b/>
              </w:rPr>
              <w:t>Validation</w:t>
            </w:r>
          </w:p>
        </w:tc>
        <w:tc>
          <w:tcPr>
            <w:tcW w:type="dxa" w:w="1824"/>
          </w:tcPr>
          <w:p>
            <w:r>
              <w:rPr>
                <w:b/>
              </w:rPr>
              <w:t>Clinical Accuracy</w:t>
            </w:r>
          </w:p>
        </w:tc>
      </w:tr>
      <w:tr>
        <w:tc>
          <w:tcPr>
            <w:tcW w:type="dxa" w:w="1824"/>
          </w:tcPr>
          <w:p>
            <w:r>
              <w:t>Handcrafted SVM / k-NN</w:t>
            </w:r>
          </w:p>
        </w:tc>
        <w:tc>
          <w:tcPr>
            <w:tcW w:type="dxa" w:w="1824"/>
          </w:tcPr>
          <w:p>
            <w:r>
              <w:t>Extracted Channels</w:t>
            </w:r>
          </w:p>
        </w:tc>
        <w:tc>
          <w:tcPr>
            <w:tcW w:type="dxa" w:w="1824"/>
          </w:tcPr>
          <w:p>
            <w:r>
              <w:t>None</w:t>
            </w:r>
          </w:p>
        </w:tc>
        <w:tc>
          <w:tcPr>
            <w:tcW w:type="dxa" w:w="1824"/>
          </w:tcPr>
          <w:p>
            <w:r>
              <w:t>Train/Test Split</w:t>
            </w:r>
          </w:p>
        </w:tc>
        <w:tc>
          <w:tcPr>
            <w:tcW w:type="dxa" w:w="1824"/>
          </w:tcPr>
          <w:p>
            <w:r>
              <w:t>~86%–91% ⚠️ leakage</w:t>
            </w:r>
          </w:p>
        </w:tc>
      </w:tr>
      <w:tr>
        <w:tc>
          <w:tcPr>
            <w:tcW w:type="dxa" w:w="1824"/>
          </w:tcPr>
          <w:p>
            <w:r>
              <w:t>Exp 1: Grayscale Inception+LSTM</w:t>
            </w:r>
          </w:p>
        </w:tc>
        <w:tc>
          <w:tcPr>
            <w:tcW w:type="dxa" w:w="1824"/>
          </w:tcPr>
          <w:p>
            <w:r>
              <w:t>Averaged Grayscale</w:t>
            </w:r>
          </w:p>
        </w:tc>
        <w:tc>
          <w:tcPr>
            <w:tcW w:type="dxa" w:w="1824"/>
          </w:tcPr>
          <w:p>
            <w:r>
              <w:t>seq=10</w:t>
            </w:r>
          </w:p>
        </w:tc>
        <w:tc>
          <w:tcPr>
            <w:tcW w:type="dxa" w:w="1824"/>
          </w:tcPr>
          <w:p>
            <w:r>
              <w:t>LOSO</w:t>
            </w:r>
          </w:p>
        </w:tc>
        <w:tc>
          <w:tcPr>
            <w:tcW w:type="dxa" w:w="1824"/>
          </w:tcPr>
          <w:p>
            <w:r>
              <w:t>63.9% Spec</w:t>
            </w:r>
          </w:p>
        </w:tc>
      </w:tr>
      <w:tr>
        <w:tc>
          <w:tcPr>
            <w:tcW w:type="dxa" w:w="1824"/>
          </w:tcPr>
          <w:p>
            <w:r>
              <w:t>Exp 2: Fine-Tuned Inception+LSTM</w:t>
            </w:r>
          </w:p>
        </w:tc>
        <w:tc>
          <w:tcPr>
            <w:tcW w:type="dxa" w:w="1824"/>
          </w:tcPr>
          <w:p>
            <w:r>
              <w:t>Averaged Grayscale</w:t>
            </w:r>
          </w:p>
        </w:tc>
        <w:tc>
          <w:tcPr>
            <w:tcW w:type="dxa" w:w="1824"/>
          </w:tcPr>
          <w:p>
            <w:r>
              <w:t>seq=10</w:t>
            </w:r>
          </w:p>
        </w:tc>
        <w:tc>
          <w:tcPr>
            <w:tcW w:type="dxa" w:w="1824"/>
          </w:tcPr>
          <w:p>
            <w:r>
              <w:t>LOSO</w:t>
            </w:r>
          </w:p>
        </w:tc>
        <w:tc>
          <w:tcPr>
            <w:tcW w:type="dxa" w:w="1824"/>
          </w:tcPr>
          <w:p>
            <w:r>
              <w:t>68.0%</w:t>
            </w:r>
          </w:p>
        </w:tc>
      </w:tr>
      <w:tr>
        <w:tc>
          <w:tcPr>
            <w:tcW w:type="dxa" w:w="1824"/>
          </w:tcPr>
          <w:p>
            <w:r>
              <w:t>Proposed: Spatial RGB LSTM</w:t>
            </w:r>
          </w:p>
        </w:tc>
        <w:tc>
          <w:tcPr>
            <w:tcW w:type="dxa" w:w="1824"/>
          </w:tcPr>
          <w:p>
            <w:r>
              <w:t>RGB Topographic Map</w:t>
            </w:r>
          </w:p>
        </w:tc>
        <w:tc>
          <w:tcPr>
            <w:tcW w:type="dxa" w:w="1824"/>
          </w:tcPr>
          <w:p>
            <w:r>
              <w:t>seq=10</w:t>
            </w:r>
          </w:p>
        </w:tc>
        <w:tc>
          <w:tcPr>
            <w:tcW w:type="dxa" w:w="1824"/>
          </w:tcPr>
          <w:p>
            <w:r>
              <w:t>Strict LOSO</w:t>
            </w:r>
          </w:p>
        </w:tc>
        <w:tc>
          <w:tcPr>
            <w:tcW w:type="dxa" w:w="1824"/>
          </w:tcPr>
          <w:p>
            <w:r>
              <w:t>90.0% (36/40) ✅</w:t>
            </w:r>
          </w:p>
        </w:tc>
      </w:tr>
    </w:tbl>
    <w:p/>
    <w:p>
      <w:pPr>
        <w:pStyle w:val="Heading1"/>
      </w:pPr>
      <w:r>
        <w:rPr>
          <w:color w:val="1A1A2E"/>
        </w:rPr>
        <w:t>5. Conclusion</w:t>
      </w:r>
    </w:p>
    <w:p>
      <w:r>
        <w:rPr>
          <w:sz w:val="22"/>
        </w:rPr>
        <w:t>This research presents a robust, interpretable, and reproducible deep learning framework for the automated identification of MDD from continuous EEG signals. By introducing Spatial RGB Mapping — encoding topographic brain regions as independent colour channels — and partially fine-tuning InceptionV3's Mixed_7c block, we equipped the model with the spatial context necessary to distinguish biologically similar but clinically opposite EEG profiles. Combined with LSTM-based temporal modelling and strict Leave-One-Subject-Out cross-validation, the framework achieved 90.0% Subject-Level Diagnostic Accuracy (36 / 40 patients). Rigorous Outlier Analysis further documented the biological constraints posed by atypical Alpha energy distributions, providing an unprecedented level of transparency rarely seen in EEG deep learning studies. This framework offers a promising step toward scalable, objective mental health diagnostics in resource-limited settings.</w:t>
      </w:r>
    </w:p>
    <w:p>
      <w:pPr>
        <w:pBdr>
          <w:bottom w:val="single" w:sz="6" w:space="1" w:color="999999"/>
        </w:pBdr>
      </w:pPr>
    </w:p>
    <w:p>
      <w:pPr>
        <w:pStyle w:val="Heading2"/>
      </w:pPr>
      <w:r>
        <w:t>References</w:t>
      </w:r>
    </w:p>
    <w:p>
      <w:pPr>
        <w:pStyle w:val="ListParagraph"/>
      </w:pPr>
      <w:r>
        <w:rPr>
          <w:sz w:val="18"/>
        </w:rPr>
        <w:t>[1] Hossain MRT et al. WSEAS TRANSACTIONS ON BIOLOGY AND BIOMEDICINE 2025; 22: 133–151.</w:t>
      </w:r>
    </w:p>
    <w:p>
      <w:pPr>
        <w:pStyle w:val="ListParagraph"/>
      </w:pPr>
      <w:r>
        <w:rPr>
          <w:sz w:val="18"/>
        </w:rPr>
        <w:t>[2] Thoduparambil PP et al. Phys Eng Sci Med 2020. DOI: 10.1007/s13246-020-00938-4.</w:t>
      </w:r>
    </w:p>
    <w:p>
      <w:pPr>
        <w:pStyle w:val="ListParagraph"/>
      </w:pPr>
      <w:r>
        <w:rPr>
          <w:sz w:val="18"/>
        </w:rPr>
        <w:t>[3] Salehi AW et al. Sustainability 2023. DOI: 10.3390/su15075930.</w:t>
      </w:r>
    </w:p>
    <w:p>
      <w:pPr>
        <w:pStyle w:val="ListParagraph"/>
      </w:pPr>
      <w:r>
        <w:rPr>
          <w:sz w:val="18"/>
        </w:rPr>
        <w:t>[4] Li CT et al. J Affect Disord 2023. DOI: 10.1016/j.jad.2023.08.059.</w:t>
      </w:r>
    </w:p>
    <w:p>
      <w:pPr>
        <w:pStyle w:val="ListParagraph"/>
      </w:pPr>
      <w:r>
        <w:rPr>
          <w:sz w:val="18"/>
        </w:rPr>
        <w:t>[5] Mumtaz W. MDD Patients and Healthy Controls EEG Data (New). 2016. DOI: 10.6084/m9.figshare.4244171.v2.</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