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i w:val="0"/>
          <w:caps w:val="0"/>
          <w:sz w:val="44"/>
        </w:rPr>
        <w:t>TAHTO: A Trust-Aware Hybrid Task Offloading Framework</w:t>
        <w:br/>
        <w:t>for Secure IoMT Edge–Cloud Healthcare Systems</w:t>
      </w:r>
    </w:p>
    <w:p>
      <w:pPr>
        <w:spacing w:before="0" w:after="40"/>
        <w:jc w:val="center"/>
      </w:pPr>
      <w:r>
        <w:rPr>
          <w:rFonts w:ascii="Times New Roman" w:hAnsi="Times New Roman"/>
          <w:b w:val="0"/>
          <w:i w:val="0"/>
          <w:caps w:val="0"/>
          <w:sz w:val="22"/>
        </w:rPr>
        <w:t>[Author Name]</w:t>
      </w:r>
    </w:p>
    <w:p>
      <w:pPr>
        <w:spacing w:before="0" w:after="20"/>
        <w:jc w:val="center"/>
      </w:pPr>
      <w:r>
        <w:rPr>
          <w:rFonts w:ascii="Times New Roman" w:hAnsi="Times New Roman"/>
          <w:b w:val="0"/>
          <w:i/>
          <w:caps w:val="0"/>
          <w:sz w:val="20"/>
        </w:rPr>
        <w:t>[Department, Institution, City, Country]</w:t>
      </w:r>
    </w:p>
    <w:p>
      <w:pPr>
        <w:spacing w:before="0" w:after="240"/>
        <w:jc w:val="center"/>
      </w:pPr>
      <w:r>
        <w:rPr>
          <w:rFonts w:ascii="Times New Roman" w:hAnsi="Times New Roman"/>
          <w:b w:val="0"/>
          <w:i/>
          <w:caps w:val="0"/>
          <w:sz w:val="20"/>
        </w:rPr>
        <w:t>[email@institution.edu]</w:t>
      </w:r>
    </w:p>
    <w:p>
      <w:pPr>
        <w:spacing w:before="0" w:after="80"/>
        <w:ind w:firstLine="0"/>
        <w:jc w:val="both"/>
      </w:pPr>
      <w:r>
        <w:rPr>
          <w:rFonts w:ascii="Times New Roman" w:hAnsi="Times New Roman"/>
          <w:b/>
          <w:i/>
          <w:caps w:val="0"/>
          <w:sz w:val="18"/>
        </w:rPr>
        <w:t>Abstract—</w:t>
      </w:r>
      <w:r>
        <w:rPr>
          <w:rFonts w:ascii="Times New Roman" w:hAnsi="Times New Roman"/>
          <w:b w:val="0"/>
          <w:i w:val="0"/>
          <w:caps w:val="0"/>
          <w:sz w:val="18"/>
        </w:rPr>
        <w:t>The Internet of Medical Things (IoMT) generates latency-sensitive streams of patient data requiring concurrent low-latency processing and robust security guarantees. Edge-cloud computational offloading addresses device-level resource constraints, yet existing frameworks implicitly trust all edge nodes, leaving medical workloads exposed to Byzantine failures, node spoofing, data-injection attacks, and resource exhaustion. This paper presents TAHTO (Trust-Aware Hybrid Task Offloading), a framework that (i) continuously predicts edge-node trustworthiness from a 9-dimensional real-time telemetry vector using an online-adaptive XGBoost classifier, and (ii) integrates trust scores into a formal min-max-normalised multi-objective scheduling function alongside latency, energy, and QoS objectives. TAHTO enforces a hard trust gate (T(n) &lt; 0.50), a stricter threshold for High-sensitivity tasks (T(n) &lt; 0.70), and triggers bandwidth-aware cloud escalation under queue saturation. Evaluated over 10 independent random seeds across six adversarial scenarios against three baselines, TAHTO achieves 99.78% malicious-node avoidance in the pure-attack scenario (S5) and 98.08% in the combined worst-case (S6) where 40% of active nodes are simultaneously compromised. Scheduling overhead remains below 25 µs per task. The complete, reproducible simulation codebase is publicly available.</w:t>
      </w:r>
    </w:p>
    <w:p>
      <w:pPr>
        <w:spacing w:after="280"/>
      </w:pPr>
      <w:r>
        <w:rPr>
          <w:rFonts w:ascii="Times New Roman" w:hAnsi="Times New Roman"/>
          <w:b/>
          <w:i/>
          <w:caps w:val="0"/>
          <w:sz w:val="18"/>
        </w:rPr>
        <w:t>Index Terms—</w:t>
      </w:r>
      <w:r>
        <w:rPr>
          <w:rFonts w:ascii="Times New Roman" w:hAnsi="Times New Roman"/>
          <w:b w:val="0"/>
          <w:i/>
          <w:caps w:val="0"/>
          <w:sz w:val="18"/>
        </w:rPr>
        <w:t>IoMT, task offloading, trust management, edge computing, XGBoost, adaptive machine learning, healthcare security, cloud escalation, zero-trust.</w:t>
      </w:r>
    </w:p>
    <w:p>
      <w:pPr>
        <w:sectPr>
          <w:pgSz w:w="12240" w:h="15840"/>
          <w:pgMar w:top="1080" w:right="900" w:bottom="1440" w:left="900" w:header="720" w:footer="720" w:gutter="0"/>
          <w:docGrid w:linePitch="360"/>
          <w:cols w:num="1"/>
        </w:sectPr>
      </w:pPr>
    </w:p>
    <w:p>
      <w:pPr>
        <w:spacing w:before="240" w:after="80"/>
        <w:jc w:val="center"/>
      </w:pPr>
      <w:r>
        <w:rPr>
          <w:rFonts w:ascii="Times New Roman" w:hAnsi="Times New Roman"/>
          <w:b/>
          <w:i w:val="0"/>
          <w:caps/>
          <w:sz w:val="20"/>
        </w:rPr>
        <w:t>I.  Introduction</w:t>
      </w:r>
    </w:p>
    <w:p>
      <w:pPr>
        <w:spacing w:before="0" w:after="80"/>
        <w:ind w:firstLine="288"/>
        <w:jc w:val="both"/>
      </w:pPr>
      <w:r>
        <w:rPr>
          <w:rFonts w:ascii="Times New Roman" w:hAnsi="Times New Roman"/>
          <w:b w:val="0"/>
          <w:i w:val="0"/>
          <w:caps w:val="0"/>
          <w:sz w:val="20"/>
        </w:rPr>
        <w:t>The proliferation of Internet of Medical Things (IoMT) devices — wearable biosensors, implantable monitors, portable diagnostic instruments, and smart infusion pumps — is fundamentally reshaping healthcare delivery by enabling continuous, real-time patient monitoring outside hospital walls [1]. However, the computational requirements of the data-processing pipelines these devices feed into (biosignal filtering, anomaly detection, AI-assisted diagnosis, and medication decision support) vastly exceed what is achievable on resource-constrained IoMT hardware.</w:t>
      </w:r>
    </w:p>
    <w:p>
      <w:pPr>
        <w:spacing w:before="0" w:after="80"/>
        <w:ind w:firstLine="288"/>
        <w:jc w:val="both"/>
      </w:pPr>
      <w:r>
        <w:rPr>
          <w:rFonts w:ascii="Times New Roman" w:hAnsi="Times New Roman"/>
          <w:b w:val="0"/>
          <w:i w:val="0"/>
          <w:caps w:val="0"/>
          <w:sz w:val="20"/>
        </w:rPr>
        <w:t>Computational offloading to hierarchical edge-cloud infrastructures provides the necessary compute capacity while preserving the low-latency response critical for clinical safety [2, 3]. Edge nodes — geographically proximate to patients — handle time-sensitive processing locally; the cloud absorbs compute-intensive analytics and archival workloads. This hybrid arrangement delivers both latency efficiency and elastic scalability.</w:t>
      </w:r>
    </w:p>
    <w:p>
      <w:pPr>
        <w:spacing w:before="0" w:after="80"/>
        <w:ind w:firstLine="288"/>
        <w:jc w:val="both"/>
      </w:pPr>
      <w:r>
        <w:rPr>
          <w:rFonts w:ascii="Times New Roman" w:hAnsi="Times New Roman"/>
          <w:b w:val="0"/>
          <w:i w:val="0"/>
          <w:caps w:val="0"/>
          <w:sz w:val="20"/>
        </w:rPr>
        <w:t>However, edge nodes in clinical environments are systematically underprotected. Unlike centralised cloud data centres with comprehensive physical and logical security controls, edge nodes may be deployed in unsecured corridors, ward utility rooms, or portable carts — making them targets for physical tampering, credential theft, malware implantation, and Byzantine compromise. A compromised edge node that silently corrupts ECG analysis outputs, falsifies drug-dosage recommendations, or spoofs a trusted gateway identity creates life-threatening risk that latency-optimisation frameworks alone cannot prevent [5].</w:t>
      </w:r>
    </w:p>
    <w:p>
      <w:pPr>
        <w:spacing w:before="0" w:after="80"/>
        <w:ind w:firstLine="288"/>
        <w:jc w:val="both"/>
      </w:pPr>
      <w:r>
        <w:rPr>
          <w:rFonts w:ascii="Times New Roman" w:hAnsi="Times New Roman"/>
          <w:b w:val="0"/>
          <w:i w:val="0"/>
          <w:caps w:val="0"/>
          <w:sz w:val="20"/>
        </w:rPr>
        <w:t>Existing offloading literature focuses almost exclusively on optimising latency, energy, and QoS under the assumption that all edge nodes are honest and functional. Static reputation systems assign fixed trustworthiness scores computed from historical data that cannot adapt after an attack onset. Pure zero-trust approaches eliminate the security risk by routing everything to the cloud, but sacrifice the latency advantage that motivates edge deployment in the first place [4, 6]. Neither approach is acceptable for real-world clinical IoMT systems that simultaneously demand low latency and zero tolerance for compromised data.</w:t>
      </w:r>
    </w:p>
    <w:p>
      <w:pPr>
        <w:spacing w:before="0" w:after="80"/>
        <w:ind w:firstLine="288"/>
        <w:jc w:val="both"/>
      </w:pPr>
      <w:r>
        <w:rPr>
          <w:rFonts w:ascii="Times New Roman" w:hAnsi="Times New Roman"/>
          <w:b w:val="0"/>
          <w:i w:val="0"/>
          <w:caps w:val="0"/>
          <w:sz w:val="20"/>
        </w:rPr>
        <w:t>This paper presents TAHTO (Trust-Aware Hybrid Task Offloading), which bridges this security-performance gap through three interlocking mechanisms: (a) an online-adaptive XGBoost classifier that continuously predicts node trustworthiness from real-time telemetry and retrains after each monitoring window so it adapts as attack patterns evolve; (b) a formal min-max-normalised multi-objective scheduling score that integrates trust with latency, energy, and QoS in a principled, weight-interpretable way; and (c) a bandwidth-aware cloud escalation policy triggered by trust gate failure or queue saturation, preventing hot-spotting in worst-case adversarial scenarios.</w:t>
      </w:r>
    </w:p>
    <w:p>
      <w:pPr>
        <w:spacing w:before="0" w:after="80"/>
        <w:ind w:firstLine="288"/>
        <w:jc w:val="both"/>
      </w:pPr>
      <w:r>
        <w:rPr>
          <w:rFonts w:ascii="Times New Roman" w:hAnsi="Times New Roman"/>
          <w:b w:val="0"/>
          <w:i w:val="0"/>
          <w:caps w:val="0"/>
          <w:sz w:val="20"/>
        </w:rPr>
        <w:t>The main contributions of this paper are:</w:t>
      </w:r>
    </w:p>
    <w:p>
      <w:pPr>
        <w:spacing w:before="0" w:after="40"/>
        <w:ind w:firstLine="360"/>
        <w:jc w:val="both"/>
      </w:pPr>
      <w:r>
        <w:rPr>
          <w:rFonts w:ascii="Times New Roman" w:hAnsi="Times New Roman"/>
          <w:b w:val="0"/>
          <w:i w:val="0"/>
          <w:caps w:val="0"/>
          <w:sz w:val="20"/>
        </w:rPr>
        <w:t>(1) A formal scheduling objective (Eq. 1) with min-max normalisation, jointly optimising latency, energy, QoS, and real-time trust with tunable, interpretable weights.</w:t>
      </w:r>
    </w:p>
    <w:p>
      <w:pPr>
        <w:spacing w:before="0" w:after="40"/>
        <w:ind w:firstLine="360"/>
        <w:jc w:val="both"/>
      </w:pPr>
      <w:r>
        <w:rPr>
          <w:rFonts w:ascii="Times New Roman" w:hAnsi="Times New Roman"/>
          <w:b w:val="0"/>
          <w:i w:val="0"/>
          <w:caps w:val="0"/>
          <w:sz w:val="20"/>
        </w:rPr>
        <w:t>(2) An online-adaptive trust prediction pipeline: initial XGBoost training on a historical calibration dataset, followed by periodic retraining on completed monitoring windows, enabling adaptation after delayed-onset attacks.</w:t>
      </w:r>
    </w:p>
    <w:p>
      <w:pPr>
        <w:spacing w:before="0" w:after="40"/>
        <w:ind w:firstLine="360"/>
        <w:jc w:val="both"/>
      </w:pPr>
      <w:r>
        <w:rPr>
          <w:rFonts w:ascii="Times New Roman" w:hAnsi="Times New Roman"/>
          <w:b w:val="0"/>
          <w:i w:val="0"/>
          <w:caps w:val="0"/>
          <w:sz w:val="20"/>
        </w:rPr>
        <w:t>(3) A bandwidth-aware cloud escalation policy that prevents queue hot-spotting on the sole trusted node under combined failure and adversarial conditions.</w:t>
      </w:r>
    </w:p>
    <w:p>
      <w:pPr>
        <w:spacing w:before="0" w:after="40"/>
        <w:ind w:firstLine="360"/>
        <w:jc w:val="both"/>
      </w:pPr>
      <w:r>
        <w:rPr>
          <w:rFonts w:ascii="Times New Roman" w:hAnsi="Times New Roman"/>
          <w:b w:val="0"/>
          <w:i w:val="0"/>
          <w:caps w:val="0"/>
          <w:sz w:val="20"/>
        </w:rPr>
        <w:t>(4) Rigorous multi-seed statistical evaluation (10 seeds) across six structured adversarial scenarios reporting mean ± SD for all metrics.</w:t>
      </w:r>
    </w:p>
    <w:p>
      <w:pPr>
        <w:spacing w:before="0" w:after="40"/>
        <w:ind w:firstLine="360"/>
        <w:jc w:val="both"/>
      </w:pPr>
      <w:r>
        <w:rPr>
          <w:rFonts w:ascii="Times New Roman" w:hAnsi="Times New Roman"/>
          <w:b w:val="0"/>
          <w:i w:val="0"/>
          <w:caps w:val="0"/>
          <w:sz w:val="20"/>
        </w:rPr>
        <w:t>(5) A fully reproducible, open-source Python discrete-event simulation codebase with documented experimental protocol.</w:t>
      </w:r>
    </w:p>
    <w:p>
      <w:pPr>
        <w:spacing w:before="240" w:after="80"/>
        <w:jc w:val="center"/>
      </w:pPr>
      <w:r>
        <w:rPr>
          <w:rFonts w:ascii="Times New Roman" w:hAnsi="Times New Roman"/>
          <w:b/>
          <w:i w:val="0"/>
          <w:caps/>
          <w:sz w:val="20"/>
        </w:rPr>
        <w:t>II.  Related Work</w:t>
      </w:r>
    </w:p>
    <w:p>
      <w:pPr>
        <w:spacing w:before="140" w:after="60"/>
        <w:jc w:val="left"/>
      </w:pPr>
      <w:r>
        <w:rPr>
          <w:rFonts w:ascii="Times New Roman" w:hAnsi="Times New Roman"/>
          <w:b/>
          <w:i/>
          <w:caps w:val="0"/>
          <w:sz w:val="20"/>
        </w:rPr>
        <w:t>A.  Task Offloading in Mobile and IoMT Edge Computing</w:t>
      </w:r>
    </w:p>
    <w:p>
      <w:pPr>
        <w:spacing w:before="0" w:after="80"/>
        <w:ind w:firstLine="288"/>
        <w:jc w:val="both"/>
      </w:pPr>
      <w:r>
        <w:rPr>
          <w:rFonts w:ascii="Times New Roman" w:hAnsi="Times New Roman"/>
          <w:b w:val="0"/>
          <w:i w:val="0"/>
          <w:caps w:val="0"/>
          <w:sz w:val="20"/>
        </w:rPr>
        <w:t>Computational offloading for mobile and IoT devices has been extensively studied. Chen et al. [2] proposed an efficient multi-user offloading framework for mobile-edge computing, demonstrating significant latency and energy reductions through formulation as a mixed-integer programming problem. Mao et al. [3] provided a comprehensive survey of mobile edge computing from the communication perspective, establishing the foundational latency-bandwidth-compute trade-off models that subsequent work — including this paper — builds upon.</w:t>
      </w:r>
    </w:p>
    <w:p>
      <w:pPr>
        <w:spacing w:before="0" w:after="80"/>
        <w:ind w:firstLine="288"/>
        <w:jc w:val="both"/>
      </w:pPr>
      <w:r>
        <w:rPr>
          <w:rFonts w:ascii="Times New Roman" w:hAnsi="Times New Roman"/>
          <w:b w:val="0"/>
          <w:i w:val="0"/>
          <w:caps w:val="0"/>
          <w:sz w:val="20"/>
        </w:rPr>
        <w:t>Within the IoMT domain, the baseline framework of Khan et al. [Base] combines Genetic Algorithms (GA), Particle Swarm Optimisation (PSO), and Graph Neural Networks (GNNs) to minimise latency and energy in healthcare edge-cloud deployments. While demonstrating strong optimisation performance, this work — like virtually all offloading literature — assumes all edge nodes are benign and fully operational, leaving a fundamental security gap in adversarial clinical deployments.</w:t>
      </w:r>
    </w:p>
    <w:p>
      <w:pPr>
        <w:spacing w:before="140" w:after="60"/>
        <w:jc w:val="left"/>
      </w:pPr>
      <w:r>
        <w:rPr>
          <w:rFonts w:ascii="Times New Roman" w:hAnsi="Times New Roman"/>
          <w:b/>
          <w:i/>
          <w:caps w:val="0"/>
          <w:sz w:val="20"/>
        </w:rPr>
        <w:t>B.  Trust Management in IoT and Edge Systems</w:t>
      </w:r>
    </w:p>
    <w:p>
      <w:pPr>
        <w:spacing w:before="0" w:after="80"/>
        <w:ind w:firstLine="288"/>
        <w:jc w:val="both"/>
      </w:pPr>
      <w:r>
        <w:rPr>
          <w:rFonts w:ascii="Times New Roman" w:hAnsi="Times New Roman"/>
          <w:b w:val="0"/>
          <w:i w:val="0"/>
          <w:caps w:val="0"/>
          <w:sz w:val="20"/>
        </w:rPr>
        <w:t>Khan et al. [4] conducted a comprehensive survey of trust management in Social IoT, identifying reputation-based systems as the dominant paradigm. These systems assign trustworthiness scores based on historical interaction records, social relationships, or peer recommendations. A critical limitation identified across this literature is that static reputation scores cannot adapt after an attack onset — a node that was legitimate yesterday may be compromised today, yet its score remains high.</w:t>
      </w:r>
    </w:p>
    <w:p>
      <w:pPr>
        <w:spacing w:before="0" w:after="80"/>
        <w:ind w:firstLine="288"/>
        <w:jc w:val="both"/>
      </w:pPr>
      <w:r>
        <w:rPr>
          <w:rFonts w:ascii="Times New Roman" w:hAnsi="Times New Roman"/>
          <w:b w:val="0"/>
          <w:i w:val="0"/>
          <w:caps w:val="0"/>
          <w:sz w:val="20"/>
        </w:rPr>
        <w:t>Dynamic trust models that update scores from real-time monitoring data have been proposed in isolated contexts (e.g., network intrusion detection, vehicular networks), but their integration into task-scheduling frameworks for healthcare edge computing remains unexplored.</w:t>
      </w:r>
    </w:p>
    <w:p>
      <w:pPr>
        <w:spacing w:before="140" w:after="60"/>
        <w:jc w:val="left"/>
      </w:pPr>
      <w:r>
        <w:rPr>
          <w:rFonts w:ascii="Times New Roman" w:hAnsi="Times New Roman"/>
          <w:b/>
          <w:i/>
          <w:caps w:val="0"/>
          <w:sz w:val="20"/>
        </w:rPr>
        <w:t>C.  Zero-Trust Architectures and ML-Based Security</w:t>
      </w:r>
    </w:p>
    <w:p>
      <w:pPr>
        <w:spacing w:before="0" w:after="80"/>
        <w:ind w:firstLine="288"/>
        <w:jc w:val="both"/>
      </w:pPr>
      <w:r>
        <w:rPr>
          <w:rFonts w:ascii="Times New Roman" w:hAnsi="Times New Roman"/>
          <w:b w:val="0"/>
          <w:i w:val="0"/>
          <w:caps w:val="0"/>
          <w:sz w:val="20"/>
        </w:rPr>
        <w:t>NIST Special Publication 800-207 [6] formalises the Zero-Trust Architecture (ZTA) principle: no implicit trust is granted to any resource, including internal network nodes. ZTA mandates continuous verification, least-privilege access, and assume-breach posture. Applied to edge computing, a strict ZTA would route all sensitive workloads to the cloud, eliminating the latency benefit of edge deployment. TAHTO realises a pragmatic ZTA: continuous per-node verification is enforced, but trusted nodes are still leveraged for efficient local processing.</w:t>
      </w:r>
    </w:p>
    <w:p>
      <w:pPr>
        <w:spacing w:before="0" w:after="80"/>
        <w:ind w:firstLine="288"/>
        <w:jc w:val="both"/>
      </w:pPr>
      <w:r>
        <w:rPr>
          <w:rFonts w:ascii="Times New Roman" w:hAnsi="Times New Roman"/>
          <w:b w:val="0"/>
          <w:i w:val="0"/>
          <w:caps w:val="0"/>
          <w:sz w:val="20"/>
        </w:rPr>
        <w:t>Zhang et al. [7] demonstrated that XGBoost achieves sub-millisecond inference for network intrusion detection with high accuracy, making it suitable for real-time integration into edge-layer security systems. This paper applies XGBoost specifically to edge-node trust scoring, extending it with online retraining to handle temporal concept drift from delayed-onset attacks.</w:t>
      </w:r>
    </w:p>
    <w:p>
      <w:pPr>
        <w:spacing w:before="140" w:after="60"/>
        <w:jc w:val="left"/>
      </w:pPr>
      <w:r>
        <w:rPr>
          <w:rFonts w:ascii="Times New Roman" w:hAnsi="Times New Roman"/>
          <w:b/>
          <w:i/>
          <w:caps w:val="0"/>
          <w:sz w:val="20"/>
        </w:rPr>
        <w:t>D.  Research Gap</w:t>
      </w:r>
    </w:p>
    <w:p>
      <w:pPr>
        <w:spacing w:before="0" w:after="80"/>
        <w:ind w:firstLine="288"/>
        <w:jc w:val="both"/>
      </w:pPr>
      <w:r>
        <w:rPr>
          <w:rFonts w:ascii="Times New Roman" w:hAnsi="Times New Roman"/>
          <w:b w:val="0"/>
          <w:i w:val="0"/>
          <w:caps w:val="0"/>
          <w:sz w:val="20"/>
        </w:rPr>
        <w:t>No existing work simultaneously addresses all of: (i) online-adaptive ML-based trust prediction that updates after attack onset; (ii) formal, normalised integration of trust into a multi-objective task scheduler; (iii) adaptive cloud escalation under combined node failure and adversarial conditions; and (iv) rigorous multi-seed statistical evaluation across diverse adversarial scenarios. TAHTO closes all four gaps.</w:t>
      </w:r>
    </w:p>
    <w:p>
      <w:pPr>
        <w:spacing w:before="240" w:after="80"/>
        <w:jc w:val="center"/>
      </w:pPr>
      <w:r>
        <w:rPr>
          <w:rFonts w:ascii="Times New Roman" w:hAnsi="Times New Roman"/>
          <w:b/>
          <w:i w:val="0"/>
          <w:caps/>
          <w:sz w:val="20"/>
        </w:rPr>
        <w:t>III.  Threat Model</w:t>
      </w:r>
    </w:p>
    <w:p>
      <w:pPr>
        <w:spacing w:before="0" w:after="80"/>
        <w:ind w:firstLine="288"/>
        <w:jc w:val="both"/>
      </w:pPr>
      <w:r>
        <w:rPr>
          <w:rFonts w:ascii="Times New Roman" w:hAnsi="Times New Roman"/>
          <w:b w:val="0"/>
          <w:i w:val="0"/>
          <w:caps w:val="0"/>
          <w:sz w:val="20"/>
        </w:rPr>
        <w:t>We model an IoMT edge-cloud environment comprising M=50 IoMT endpoint devices offloading tasks to N=5 heterogeneous edge nodes and one trusted cloud server. The adversary is a bounded, node-level attacker with the following capabilities and constraints:</w:t>
      </w:r>
    </w:p>
    <w:p>
      <w:pPr>
        <w:spacing w:before="0" w:after="40"/>
        <w:ind w:firstLine="360"/>
        <w:jc w:val="both"/>
      </w:pPr>
      <w:r>
        <w:rPr>
          <w:rFonts w:ascii="Times New Roman" w:hAnsi="Times New Roman"/>
          <w:b w:val="0"/>
          <w:i w:val="0"/>
          <w:caps w:val="0"/>
          <w:sz w:val="20"/>
        </w:rPr>
        <w:t>Capability: Can compromise at most 2 of 5 edge nodes.</w:t>
      </w:r>
    </w:p>
    <w:p>
      <w:pPr>
        <w:spacing w:before="0" w:after="40"/>
        <w:ind w:firstLine="360"/>
        <w:jc w:val="both"/>
      </w:pPr>
      <w:r>
        <w:rPr>
          <w:rFonts w:ascii="Times New Roman" w:hAnsi="Times New Roman"/>
          <w:b w:val="0"/>
          <w:i w:val="0"/>
          <w:caps w:val="0"/>
          <w:sz w:val="20"/>
        </w:rPr>
        <w:t>Capability: Can execute any of the four attack types in Table I.</w:t>
      </w:r>
    </w:p>
    <w:p>
      <w:pPr>
        <w:spacing w:before="0" w:after="40"/>
        <w:ind w:firstLine="360"/>
        <w:jc w:val="both"/>
      </w:pPr>
      <w:r>
        <w:rPr>
          <w:rFonts w:ascii="Times New Roman" w:hAnsi="Times New Roman"/>
          <w:b w:val="0"/>
          <w:i w:val="0"/>
          <w:caps w:val="0"/>
          <w:sz w:val="20"/>
        </w:rPr>
        <w:t>Constraint: Cannot compromise the cloud server (which operates within a secure data centre with full authentication, physical controls, and audit logging).</w:t>
      </w:r>
    </w:p>
    <w:p>
      <w:pPr>
        <w:spacing w:before="0" w:after="40"/>
        <w:ind w:firstLine="360"/>
        <w:jc w:val="both"/>
      </w:pPr>
      <w:r>
        <w:rPr>
          <w:rFonts w:ascii="Times New Roman" w:hAnsi="Times New Roman"/>
          <w:b w:val="0"/>
          <w:i w:val="0"/>
          <w:caps w:val="0"/>
          <w:sz w:val="20"/>
        </w:rPr>
        <w:t>Constraint: Attacks on the transmission channel (man-in-the-middle, packet injection) are out of scope; TAHTO defends at the compute layer.</w:t>
      </w:r>
    </w:p>
    <w:p>
      <w:pPr>
        <w:spacing w:before="0" w:after="40"/>
        <w:ind w:firstLine="360"/>
        <w:jc w:val="both"/>
      </w:pPr>
      <w:r>
        <w:rPr>
          <w:rFonts w:ascii="Times New Roman" w:hAnsi="Times New Roman"/>
          <w:b w:val="0"/>
          <w:i w:val="0"/>
          <w:caps w:val="0"/>
          <w:sz w:val="20"/>
        </w:rPr>
        <w:t>Realism: In S5 and S6, attackers are initially benign for 20 s, then switch to adversarial behaviour, modelling realistic slow-onset compromise (e.g., malware activation, credential rotation, delayed command-and-control).</w:t>
      </w:r>
    </w:p>
    <w:p>
      <w:pPr>
        <w:spacing w:before="160" w:after="60"/>
        <w:jc w:val="center"/>
      </w:pPr>
      <w:r>
        <w:rPr>
          <w:rFonts w:ascii="Times New Roman" w:hAnsi="Times New Roman"/>
          <w:b/>
          <w:i w:val="0"/>
          <w:caps w:val="0"/>
          <w:sz w:val="16"/>
        </w:rPr>
        <w:t>TABLE I.  Modelled Attack Types, Behaviours, and Observable Telemetry Signals</w:t>
      </w:r>
    </w:p>
    <w:tbl>
      <w:tblPr>
        <w:tblStyle w:val="TableGrid"/>
        <w:tblW w:type="auto" w:w="0"/>
        <w:tblLook w:firstColumn="1" w:firstRow="1" w:lastColumn="0" w:lastRow="0" w:noHBand="0" w:noVBand="1" w:val="04A0"/>
      </w:tblPr>
      <w:tblGrid>
        <w:gridCol w:w="3480"/>
        <w:gridCol w:w="3480"/>
        <w:gridCol w:w="3480"/>
      </w:tblGrid>
      <w:tr>
        <w:tc>
          <w:tcPr>
            <w:tcW w:type="dxa" w:w="3480"/>
          </w:tcPr>
          <w:p>
            <w:pPr>
              <w:jc w:val="center"/>
            </w:pPr>
            <w:r>
              <w:rPr>
                <w:rFonts w:ascii="Times New Roman" w:hAnsi="Times New Roman"/>
                <w:b/>
                <w:sz w:val="16"/>
              </w:rPr>
              <w:t>Attack Type</w:t>
            </w:r>
          </w:p>
        </w:tc>
        <w:tc>
          <w:tcPr>
            <w:tcW w:type="dxa" w:w="3480"/>
          </w:tcPr>
          <w:p>
            <w:pPr>
              <w:jc w:val="center"/>
            </w:pPr>
            <w:r>
              <w:rPr>
                <w:rFonts w:ascii="Times New Roman" w:hAnsi="Times New Roman"/>
                <w:b/>
                <w:sz w:val="16"/>
              </w:rPr>
              <w:t>Node Behaviour During Attack</w:t>
            </w:r>
          </w:p>
        </w:tc>
        <w:tc>
          <w:tcPr>
            <w:tcW w:type="dxa" w:w="3480"/>
          </w:tcPr>
          <w:p>
            <w:pPr>
              <w:jc w:val="center"/>
            </w:pPr>
            <w:r>
              <w:rPr>
                <w:rFonts w:ascii="Times New Roman" w:hAnsi="Times New Roman"/>
                <w:b/>
                <w:sz w:val="16"/>
              </w:rPr>
              <w:t>Observable Feature Change</w:t>
            </w:r>
          </w:p>
        </w:tc>
      </w:tr>
      <w:tr>
        <w:tc>
          <w:tcPr>
            <w:tcW w:type="dxa" w:w="3480"/>
          </w:tcPr>
          <w:p>
            <w:pPr>
              <w:jc w:val="left"/>
            </w:pPr>
            <w:r>
              <w:rPr>
                <w:rFonts w:ascii="Times New Roman" w:hAnsi="Times New Roman"/>
                <w:sz w:val="16"/>
              </w:rPr>
              <w:t>Byzantine Failure</w:t>
            </w:r>
          </w:p>
        </w:tc>
        <w:tc>
          <w:tcPr>
            <w:tcW w:type="dxa" w:w="3480"/>
          </w:tcPr>
          <w:p>
            <w:pPr>
              <w:jc w:val="left"/>
            </w:pPr>
            <w:r>
              <w:rPr>
                <w:rFonts w:ascii="Times New Roman" w:hAnsi="Times New Roman"/>
                <w:sz w:val="16"/>
              </w:rPr>
              <w:t>Returns plausible but incorrect task results while maintaining normal operational appearance</w:t>
            </w:r>
          </w:p>
        </w:tc>
        <w:tc>
          <w:tcPr>
            <w:tcW w:type="dxa" w:w="3480"/>
          </w:tcPr>
          <w:p>
            <w:pPr>
              <w:jc w:val="left"/>
            </w:pPr>
            <w:r>
              <w:rPr>
                <w:rFonts w:ascii="Times New Roman" w:hAnsi="Times New Roman"/>
                <w:sz w:val="16"/>
              </w:rPr>
              <w:t>Task success rate drops; IDS alert count rises; CPU pattern becomes anomalous</w:t>
            </w:r>
          </w:p>
        </w:tc>
      </w:tr>
      <w:tr>
        <w:tc>
          <w:tcPr>
            <w:tcW w:type="dxa" w:w="3480"/>
          </w:tcPr>
          <w:p>
            <w:pPr>
              <w:jc w:val="left"/>
            </w:pPr>
            <w:r>
              <w:rPr>
                <w:rFonts w:ascii="Times New Roman" w:hAnsi="Times New Roman"/>
                <w:sz w:val="16"/>
              </w:rPr>
              <w:t>Node Spoofing</w:t>
            </w:r>
          </w:p>
        </w:tc>
        <w:tc>
          <w:tcPr>
            <w:tcW w:type="dxa" w:w="3480"/>
          </w:tcPr>
          <w:p>
            <w:pPr>
              <w:jc w:val="left"/>
            </w:pPr>
            <w:r>
              <w:rPr>
                <w:rFonts w:ascii="Times New Roman" w:hAnsi="Times New Roman"/>
                <w:sz w:val="16"/>
              </w:rPr>
              <w:t>Malicious node presents forged identity credentials of a legitimate node</w:t>
            </w:r>
          </w:p>
        </w:tc>
        <w:tc>
          <w:tcPr>
            <w:tcW w:type="dxa" w:w="3480"/>
          </w:tcPr>
          <w:p>
            <w:pPr>
              <w:jc w:val="left"/>
            </w:pPr>
            <w:r>
              <w:rPr>
                <w:rFonts w:ascii="Times New Roman" w:hAnsi="Times New Roman"/>
                <w:sz w:val="16"/>
              </w:rPr>
              <w:t>Authentication status = 0 (fails re-validation); net latency fluctuates anomalously</w:t>
            </w:r>
          </w:p>
        </w:tc>
      </w:tr>
      <w:tr>
        <w:tc>
          <w:tcPr>
            <w:tcW w:type="dxa" w:w="3480"/>
          </w:tcPr>
          <w:p>
            <w:pPr>
              <w:jc w:val="left"/>
            </w:pPr>
            <w:r>
              <w:rPr>
                <w:rFonts w:ascii="Times New Roman" w:hAnsi="Times New Roman"/>
                <w:sz w:val="16"/>
              </w:rPr>
              <w:t>Data Injection</w:t>
            </w:r>
          </w:p>
        </w:tc>
        <w:tc>
          <w:tcPr>
            <w:tcW w:type="dxa" w:w="3480"/>
          </w:tcPr>
          <w:p>
            <w:pPr>
              <w:jc w:val="left"/>
            </w:pPr>
            <w:r>
              <w:rPr>
                <w:rFonts w:ascii="Times New Roman" w:hAnsi="Times New Roman"/>
                <w:sz w:val="16"/>
              </w:rPr>
              <w:t>Silently corrupts task output payloads (e.g., falsified biosignal readings)</w:t>
            </w:r>
          </w:p>
        </w:tc>
        <w:tc>
          <w:tcPr>
            <w:tcW w:type="dxa" w:w="3480"/>
          </w:tcPr>
          <w:p>
            <w:pPr>
              <w:jc w:val="left"/>
            </w:pPr>
            <w:r>
              <w:rPr>
                <w:rFonts w:ascii="Times New Roman" w:hAnsi="Times New Roman"/>
                <w:sz w:val="16"/>
              </w:rPr>
              <w:t>Elevated IDS alerts; output checksum failures; abnormal task success rate</w:t>
            </w:r>
          </w:p>
        </w:tc>
      </w:tr>
      <w:tr>
        <w:tc>
          <w:tcPr>
            <w:tcW w:type="dxa" w:w="3480"/>
          </w:tcPr>
          <w:p>
            <w:pPr>
              <w:jc w:val="left"/>
            </w:pPr>
            <w:r>
              <w:rPr>
                <w:rFonts w:ascii="Times New Roman" w:hAnsi="Times New Roman"/>
                <w:sz w:val="16"/>
              </w:rPr>
              <w:t>Resource Exhaustion</w:t>
            </w:r>
          </w:p>
        </w:tc>
        <w:tc>
          <w:tcPr>
            <w:tcW w:type="dxa" w:w="3480"/>
          </w:tcPr>
          <w:p>
            <w:pPr>
              <w:jc w:val="left"/>
            </w:pPr>
            <w:r>
              <w:rPr>
                <w:rFonts w:ascii="Times New Roman" w:hAnsi="Times New Roman"/>
                <w:sz w:val="16"/>
              </w:rPr>
              <w:t>Floods its own queue or network interfaces to deny service to legitimate tasks</w:t>
            </w:r>
          </w:p>
        </w:tc>
        <w:tc>
          <w:tcPr>
            <w:tcW w:type="dxa" w:w="3480"/>
          </w:tcPr>
          <w:p>
            <w:pPr>
              <w:jc w:val="left"/>
            </w:pPr>
            <w:r>
              <w:rPr>
                <w:rFonts w:ascii="Times New Roman" w:hAnsi="Times New Roman"/>
                <w:sz w:val="16"/>
              </w:rPr>
              <w:t>Queue length at maximum; packet loss rate spikes; node availability drops</w:t>
            </w:r>
          </w:p>
        </w:tc>
      </w:tr>
    </w:tbl>
    <w:p>
      <w:pPr>
        <w:spacing w:before="0" w:after="120"/>
        <w:jc w:val="both"/>
      </w:pPr>
    </w:p>
    <w:p>
      <w:pPr>
        <w:spacing w:before="240" w:after="80"/>
        <w:jc w:val="center"/>
      </w:pPr>
      <w:r>
        <w:rPr>
          <w:rFonts w:ascii="Times New Roman" w:hAnsi="Times New Roman"/>
          <w:b/>
          <w:i w:val="0"/>
          <w:caps/>
          <w:sz w:val="20"/>
        </w:rPr>
        <w:t>IV.  System Architecture</w:t>
      </w:r>
    </w:p>
    <w:p>
      <w:pPr>
        <w:spacing w:before="0" w:after="80"/>
        <w:ind w:firstLine="288"/>
        <w:jc w:val="both"/>
      </w:pPr>
      <w:r>
        <w:rPr>
          <w:rFonts w:ascii="Times New Roman" w:hAnsi="Times New Roman"/>
          <w:b w:val="0"/>
          <w:i w:val="0"/>
          <w:caps w:val="0"/>
          <w:sz w:val="20"/>
        </w:rPr>
        <w:t>TAHTO is structured as a three-layer hierarchical offloading framework (Fig. 1). Each layer has distinct roles, and the Trust Prediction Engine and TAHTO Scheduler co-reside at the edge layer, operating in a tight monitoring-decision loop.</w:t>
      </w:r>
    </w:p>
    <w:p>
      <w:pPr>
        <w:spacing w:before="140" w:after="60"/>
        <w:jc w:val="left"/>
      </w:pPr>
      <w:r>
        <w:rPr>
          <w:rFonts w:ascii="Times New Roman" w:hAnsi="Times New Roman"/>
          <w:b/>
          <w:i/>
          <w:caps w:val="0"/>
          <w:sz w:val="20"/>
        </w:rPr>
        <w:t>A.  Layer 1: IoMT Device Layer</w:t>
      </w:r>
    </w:p>
    <w:p>
      <w:pPr>
        <w:spacing w:before="0" w:after="80"/>
        <w:ind w:firstLine="288"/>
        <w:jc w:val="both"/>
      </w:pPr>
      <w:r>
        <w:rPr>
          <w:rFonts w:ascii="Times New Roman" w:hAnsi="Times New Roman"/>
          <w:b w:val="0"/>
          <w:i w:val="0"/>
          <w:caps w:val="0"/>
          <w:sz w:val="20"/>
        </w:rPr>
        <w:t>IoMT endpoints — wearable ECG patches, SpO2 sensors, glucose monitors, portable MRI interfaces, and smart infusion pumps — continuously generate computational tasks and transmit them wirelessly to the edge layer. Each task is characterised by a four-tuple:</w:t>
      </w:r>
    </w:p>
    <w:p>
      <w:pPr>
        <w:spacing w:before="60" w:after="60"/>
        <w:jc w:val="center"/>
      </w:pPr>
      <w:r>
        <w:rPr>
          <w:rFonts w:ascii="Courier New" w:hAnsi="Courier New"/>
          <w:b w:val="0"/>
          <w:i w:val="0"/>
          <w:caps w:val="0"/>
          <w:sz w:val="18"/>
        </w:rPr>
        <w:t>task_i = (d_i, c_i, τ_i, s_i)  (1)</w:t>
      </w:r>
    </w:p>
    <w:p>
      <w:pPr>
        <w:spacing w:before="0" w:after="80"/>
        <w:jc w:val="both"/>
      </w:pPr>
      <w:r>
        <w:rPr>
          <w:rFonts w:ascii="Times New Roman" w:hAnsi="Times New Roman"/>
          <w:b w:val="0"/>
          <w:i w:val="0"/>
          <w:caps w:val="0"/>
          <w:sz w:val="20"/>
        </w:rPr>
        <w:t>where d_i is the input data payload (KB), c_i the required CPU cycles, τ_i the hard deadline (ms), and s_i ∈ {Low, Medium, High} the clinical sensitivity label. High-sensitivity tasks (e.g., cardiac arrhythmia detection, insulin dosage computation) are subject to the stricter trust threshold T_high = 0.70 before any edge assignment.</w:t>
      </w:r>
    </w:p>
    <w:p>
      <w:pPr>
        <w:spacing w:before="140" w:after="60"/>
        <w:jc w:val="left"/>
      </w:pPr>
      <w:r>
        <w:rPr>
          <w:rFonts w:ascii="Times New Roman" w:hAnsi="Times New Roman"/>
          <w:b/>
          <w:i/>
          <w:caps w:val="0"/>
          <w:sz w:val="20"/>
        </w:rPr>
        <w:t>B.  Layer 2: Edge Computing Layer</w:t>
      </w:r>
    </w:p>
    <w:p>
      <w:pPr>
        <w:spacing w:before="0" w:after="80"/>
        <w:ind w:firstLine="288"/>
        <w:jc w:val="both"/>
      </w:pPr>
      <w:r>
        <w:rPr>
          <w:rFonts w:ascii="Times New Roman" w:hAnsi="Times New Roman"/>
          <w:b w:val="0"/>
          <w:i w:val="0"/>
          <w:caps w:val="0"/>
          <w:sz w:val="20"/>
        </w:rPr>
        <w:t>The Edge Computing Layer hosts five heterogeneous edge nodes. Each node exposes a 9-feature real-time telemetry vector (Table II) that captures both its computational state (CPU load, memory, queue depth) and its security posture (authentication status, IDS alert count, task success rate). This layer also hosts two key TAHTO components:</w:t>
      </w:r>
    </w:p>
    <w:p>
      <w:pPr>
        <w:spacing w:before="0" w:after="80"/>
        <w:ind w:firstLine="288"/>
        <w:jc w:val="both"/>
      </w:pPr>
      <w:r>
        <w:rPr>
          <w:rFonts w:ascii="Times New Roman" w:hAnsi="Times New Roman"/>
          <w:b w:val="0"/>
          <w:i w:val="0"/>
          <w:caps w:val="0"/>
          <w:sz w:val="20"/>
        </w:rPr>
        <w:t>Trust Prediction Engine: An XGBoost classifier consumes the latest telemetry snapshot of each node and produces a continuous trust score T(n) ∈ [0, 1], where 1.0 indicates high confidence of legitimate behaviour and 0.0 indicates high confidence of compromise. The model is updated online after each monitoring window (every UPDATE_EVERY = 50 tasks) to adapt to evolving attack patterns. The update protocol evaluates the current unseen window before retraining, ensuring reported metrics reflect true online generalisation rather than training-set performance.</w:t>
      </w:r>
    </w:p>
    <w:p>
      <w:pPr>
        <w:spacing w:before="0" w:after="80"/>
        <w:ind w:firstLine="288"/>
        <w:jc w:val="both"/>
      </w:pPr>
      <w:r>
        <w:rPr>
          <w:rFonts w:ascii="Times New Roman" w:hAnsi="Times New Roman"/>
          <w:b w:val="0"/>
          <w:i w:val="0"/>
          <w:caps w:val="0"/>
          <w:sz w:val="20"/>
        </w:rPr>
        <w:t>TAHTO Scheduler: Receives the arriving task and the current trust scores, applies the trust gate to filter unsafe candidates, computes the composite scheduling score for each remaining node, and routes the task to the highest-scoring node. If no node passes the trust gate, or if the sole trusted node is queue-saturated, the scheduler escalates to the trusted cloud.</w:t>
      </w:r>
    </w:p>
    <w:p>
      <w:pPr>
        <w:spacing w:before="140" w:after="60"/>
        <w:jc w:val="left"/>
      </w:pPr>
      <w:r>
        <w:rPr>
          <w:rFonts w:ascii="Times New Roman" w:hAnsi="Times New Roman"/>
          <w:b/>
          <w:i/>
          <w:caps w:val="0"/>
          <w:sz w:val="20"/>
        </w:rPr>
        <w:t>C.  Layer 3: Cloud Layer</w:t>
      </w:r>
    </w:p>
    <w:p>
      <w:pPr>
        <w:spacing w:before="0" w:after="80"/>
        <w:ind w:firstLine="288"/>
        <w:jc w:val="both"/>
      </w:pPr>
      <w:r>
        <w:rPr>
          <w:rFonts w:ascii="Times New Roman" w:hAnsi="Times New Roman"/>
          <w:b w:val="0"/>
          <w:i w:val="0"/>
          <w:caps w:val="0"/>
          <w:sz w:val="20"/>
        </w:rPr>
        <w:t>The cloud server is a high-capacity compute cluster operating within a NIST-compliant secure data centre. It serves exclusively as the escalation target — TAHTO never routes tasks to the cloud out of preference for lower latency, only as a safety fallback. Cloud latency is modelled as a fixed L_cloud = 100 ms (round-trip + processing), which exceeds the edge latency of trusted nodes in S1, S2, S4, and S5, but is preferable to routing to compromised edge nodes that return incorrect results.</w:t>
      </w:r>
    </w:p>
    <w:p>
      <w:pPr>
        <w:sectPr>
          <w:type w:val="continuous"/>
          <w:pgSz w:w="12240" w:h="15840"/>
          <w:pgMar w:top="1080" w:right="900" w:bottom="1440" w:left="900" w:header="720" w:footer="720" w:gutter="0"/>
          <w:docGrid w:linePitch="360"/>
          <w:cols w:num="2" w:space="720"/>
        </w:sectPr>
      </w:pPr>
    </w:p>
    <w:p>
      <w:pPr>
        <w:spacing w:before="120" w:after="0"/>
        <w:jc w:val="center"/>
      </w:pPr>
      <w:r>
        <w:drawing>
          <wp:inline xmlns:a="http://schemas.openxmlformats.org/drawingml/2006/main" xmlns:pic="http://schemas.openxmlformats.org/drawingml/2006/picture">
            <wp:extent cx="5943600" cy="3489820"/>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5943600" cy="3489820"/>
                    </a:xfrm>
                    <a:prstGeom prst="rect"/>
                  </pic:spPr>
                </pic:pic>
              </a:graphicData>
            </a:graphic>
          </wp:inline>
        </w:drawing>
      </w:r>
    </w:p>
    <w:p>
      <w:pPr>
        <w:spacing w:before="60" w:after="200"/>
        <w:jc w:val="center"/>
      </w:pPr>
      <w:r>
        <w:rPr>
          <w:rFonts w:ascii="Times New Roman" w:hAnsi="Times New Roman"/>
          <w:b w:val="0"/>
          <w:i/>
          <w:caps w:val="0"/>
          <w:sz w:val="18"/>
        </w:rPr>
        <w:t>Fig. 1.  TAHTO Three-Layer System Architecture. IoMT devices (Layer 1) offload tasks to the Edge Computing Layer (Layer 2), which hosts the Trust Prediction Engine and TAHTO Scheduler. Untrusted nodes are excluded by the trust gate; queue-saturated or trust-failed tasks escalate to the Trusted Cloud (Layer 3).</w:t>
      </w:r>
    </w:p>
    <w:p>
      <w:pPr>
        <w:sectPr>
          <w:type w:val="continuous"/>
          <w:pgSz w:w="12240" w:h="15840"/>
          <w:pgMar w:top="1080" w:right="900" w:bottom="1440" w:left="900" w:header="720" w:footer="720" w:gutter="0"/>
          <w:docGrid w:linePitch="360"/>
          <w:cols w:num="1"/>
        </w:sectPr>
      </w:pPr>
    </w:p>
    <w:p>
      <w:pPr>
        <w:spacing w:before="160" w:after="60"/>
        <w:jc w:val="center"/>
      </w:pPr>
      <w:r>
        <w:rPr>
          <w:rFonts w:ascii="Times New Roman" w:hAnsi="Times New Roman"/>
          <w:b/>
          <w:i w:val="0"/>
          <w:caps w:val="0"/>
          <w:sz w:val="16"/>
        </w:rPr>
        <w:t>TABLE II.  9-Feature Real-Time Trust Telemetry Vector per Edge Node</w:t>
      </w:r>
    </w:p>
    <w:tbl>
      <w:tblPr>
        <w:tblStyle w:val="TableGrid"/>
        <w:tblW w:type="auto" w:w="0"/>
        <w:tblLook w:firstColumn="1" w:firstRow="1" w:lastColumn="0" w:lastRow="0" w:noHBand="0" w:noVBand="1" w:val="04A0"/>
      </w:tblPr>
      <w:tblGrid>
        <w:gridCol w:w="2610"/>
        <w:gridCol w:w="2610"/>
        <w:gridCol w:w="2610"/>
        <w:gridCol w:w="2610"/>
      </w:tblGrid>
      <w:tr>
        <w:tc>
          <w:tcPr>
            <w:tcW w:type="dxa" w:w="2610"/>
          </w:tcPr>
          <w:p>
            <w:pPr>
              <w:jc w:val="center"/>
            </w:pPr>
            <w:r>
              <w:rPr>
                <w:rFonts w:ascii="Times New Roman" w:hAnsi="Times New Roman"/>
                <w:b/>
                <w:sz w:val="16"/>
              </w:rPr>
              <w:t>#</w:t>
            </w:r>
          </w:p>
        </w:tc>
        <w:tc>
          <w:tcPr>
            <w:tcW w:type="dxa" w:w="2610"/>
          </w:tcPr>
          <w:p>
            <w:pPr>
              <w:jc w:val="center"/>
            </w:pPr>
            <w:r>
              <w:rPr>
                <w:rFonts w:ascii="Times New Roman" w:hAnsi="Times New Roman"/>
                <w:b/>
                <w:sz w:val="16"/>
              </w:rPr>
              <w:t>Feature Name</w:t>
            </w:r>
          </w:p>
        </w:tc>
        <w:tc>
          <w:tcPr>
            <w:tcW w:type="dxa" w:w="2610"/>
          </w:tcPr>
          <w:p>
            <w:pPr>
              <w:jc w:val="center"/>
            </w:pPr>
            <w:r>
              <w:rPr>
                <w:rFonts w:ascii="Times New Roman" w:hAnsi="Times New Roman"/>
                <w:b/>
                <w:sz w:val="16"/>
              </w:rPr>
              <w:t>Type</w:t>
            </w:r>
          </w:p>
        </w:tc>
        <w:tc>
          <w:tcPr>
            <w:tcW w:type="dxa" w:w="2610"/>
          </w:tcPr>
          <w:p>
            <w:pPr>
              <w:jc w:val="center"/>
            </w:pPr>
            <w:r>
              <w:rPr>
                <w:rFonts w:ascii="Times New Roman" w:hAnsi="Times New Roman"/>
                <w:b/>
                <w:sz w:val="16"/>
              </w:rPr>
              <w:t>Security Relevance</w:t>
            </w:r>
          </w:p>
        </w:tc>
      </w:tr>
      <w:tr>
        <w:tc>
          <w:tcPr>
            <w:tcW w:type="dxa" w:w="2610"/>
          </w:tcPr>
          <w:p>
            <w:pPr>
              <w:jc w:val="left"/>
            </w:pPr>
            <w:r>
              <w:rPr>
                <w:rFonts w:ascii="Times New Roman" w:hAnsi="Times New Roman"/>
                <w:sz w:val="16"/>
              </w:rPr>
              <w:t>1</w:t>
            </w:r>
          </w:p>
        </w:tc>
        <w:tc>
          <w:tcPr>
            <w:tcW w:type="dxa" w:w="2610"/>
          </w:tcPr>
          <w:p>
            <w:pPr>
              <w:jc w:val="left"/>
            </w:pPr>
            <w:r>
              <w:rPr>
                <w:rFonts w:ascii="Times New Roman" w:hAnsi="Times New Roman"/>
                <w:sz w:val="16"/>
              </w:rPr>
              <w:t>CPU Utilisation (%)</w:t>
            </w:r>
          </w:p>
        </w:tc>
        <w:tc>
          <w:tcPr>
            <w:tcW w:type="dxa" w:w="2610"/>
          </w:tcPr>
          <w:p>
            <w:pPr>
              <w:jc w:val="left"/>
            </w:pPr>
            <w:r>
              <w:rPr>
                <w:rFonts w:ascii="Times New Roman" w:hAnsi="Times New Roman"/>
                <w:sz w:val="16"/>
              </w:rPr>
              <w:t>Continuous</w:t>
            </w:r>
          </w:p>
        </w:tc>
        <w:tc>
          <w:tcPr>
            <w:tcW w:type="dxa" w:w="2610"/>
          </w:tcPr>
          <w:p>
            <w:pPr>
              <w:jc w:val="left"/>
            </w:pPr>
            <w:r>
              <w:rPr>
                <w:rFonts w:ascii="Times New Roman" w:hAnsi="Times New Roman"/>
                <w:sz w:val="16"/>
              </w:rPr>
              <w:t>Elevated under resource-exhaustion attack</w:t>
            </w:r>
          </w:p>
        </w:tc>
      </w:tr>
      <w:tr>
        <w:tc>
          <w:tcPr>
            <w:tcW w:type="dxa" w:w="2610"/>
          </w:tcPr>
          <w:p>
            <w:pPr>
              <w:jc w:val="left"/>
            </w:pPr>
            <w:r>
              <w:rPr>
                <w:rFonts w:ascii="Times New Roman" w:hAnsi="Times New Roman"/>
                <w:sz w:val="16"/>
              </w:rPr>
              <w:t>2</w:t>
            </w:r>
          </w:p>
        </w:tc>
        <w:tc>
          <w:tcPr>
            <w:tcW w:type="dxa" w:w="2610"/>
          </w:tcPr>
          <w:p>
            <w:pPr>
              <w:jc w:val="left"/>
            </w:pPr>
            <w:r>
              <w:rPr>
                <w:rFonts w:ascii="Times New Roman" w:hAnsi="Times New Roman"/>
                <w:sz w:val="16"/>
              </w:rPr>
              <w:t>Memory Utilisation (%)</w:t>
            </w:r>
          </w:p>
        </w:tc>
        <w:tc>
          <w:tcPr>
            <w:tcW w:type="dxa" w:w="2610"/>
          </w:tcPr>
          <w:p>
            <w:pPr>
              <w:jc w:val="left"/>
            </w:pPr>
            <w:r>
              <w:rPr>
                <w:rFonts w:ascii="Times New Roman" w:hAnsi="Times New Roman"/>
                <w:sz w:val="16"/>
              </w:rPr>
              <w:t>Continuous</w:t>
            </w:r>
          </w:p>
        </w:tc>
        <w:tc>
          <w:tcPr>
            <w:tcW w:type="dxa" w:w="2610"/>
          </w:tcPr>
          <w:p>
            <w:pPr>
              <w:jc w:val="left"/>
            </w:pPr>
            <w:r>
              <w:rPr>
                <w:rFonts w:ascii="Times New Roman" w:hAnsi="Times New Roman"/>
                <w:sz w:val="16"/>
              </w:rPr>
              <w:t>Inflated by malware or queue flooding</w:t>
            </w:r>
          </w:p>
        </w:tc>
      </w:tr>
      <w:tr>
        <w:tc>
          <w:tcPr>
            <w:tcW w:type="dxa" w:w="2610"/>
          </w:tcPr>
          <w:p>
            <w:pPr>
              <w:jc w:val="left"/>
            </w:pPr>
            <w:r>
              <w:rPr>
                <w:rFonts w:ascii="Times New Roman" w:hAnsi="Times New Roman"/>
                <w:sz w:val="16"/>
              </w:rPr>
              <w:t>3</w:t>
            </w:r>
          </w:p>
        </w:tc>
        <w:tc>
          <w:tcPr>
            <w:tcW w:type="dxa" w:w="2610"/>
          </w:tcPr>
          <w:p>
            <w:pPr>
              <w:jc w:val="left"/>
            </w:pPr>
            <w:r>
              <w:rPr>
                <w:rFonts w:ascii="Times New Roman" w:hAnsi="Times New Roman"/>
                <w:sz w:val="16"/>
              </w:rPr>
              <w:t>Queue Length (tasks)</w:t>
            </w:r>
          </w:p>
        </w:tc>
        <w:tc>
          <w:tcPr>
            <w:tcW w:type="dxa" w:w="2610"/>
          </w:tcPr>
          <w:p>
            <w:pPr>
              <w:jc w:val="left"/>
            </w:pPr>
            <w:r>
              <w:rPr>
                <w:rFonts w:ascii="Times New Roman" w:hAnsi="Times New Roman"/>
                <w:sz w:val="16"/>
              </w:rPr>
              <w:t>Integer</w:t>
            </w:r>
          </w:p>
        </w:tc>
        <w:tc>
          <w:tcPr>
            <w:tcW w:type="dxa" w:w="2610"/>
          </w:tcPr>
          <w:p>
            <w:pPr>
              <w:jc w:val="left"/>
            </w:pPr>
            <w:r>
              <w:rPr>
                <w:rFonts w:ascii="Times New Roman" w:hAnsi="Times New Roman"/>
                <w:sz w:val="16"/>
              </w:rPr>
              <w:t>Saturated under denial-of-service</w:t>
            </w:r>
          </w:p>
        </w:tc>
      </w:tr>
      <w:tr>
        <w:tc>
          <w:tcPr>
            <w:tcW w:type="dxa" w:w="2610"/>
          </w:tcPr>
          <w:p>
            <w:pPr>
              <w:jc w:val="left"/>
            </w:pPr>
            <w:r>
              <w:rPr>
                <w:rFonts w:ascii="Times New Roman" w:hAnsi="Times New Roman"/>
                <w:sz w:val="16"/>
              </w:rPr>
              <w:t>4</w:t>
            </w:r>
          </w:p>
        </w:tc>
        <w:tc>
          <w:tcPr>
            <w:tcW w:type="dxa" w:w="2610"/>
          </w:tcPr>
          <w:p>
            <w:pPr>
              <w:jc w:val="left"/>
            </w:pPr>
            <w:r>
              <w:rPr>
                <w:rFonts w:ascii="Times New Roman" w:hAnsi="Times New Roman"/>
                <w:sz w:val="16"/>
              </w:rPr>
              <w:t>Network Latency (ms)</w:t>
            </w:r>
          </w:p>
        </w:tc>
        <w:tc>
          <w:tcPr>
            <w:tcW w:type="dxa" w:w="2610"/>
          </w:tcPr>
          <w:p>
            <w:pPr>
              <w:jc w:val="left"/>
            </w:pPr>
            <w:r>
              <w:rPr>
                <w:rFonts w:ascii="Times New Roman" w:hAnsi="Times New Roman"/>
                <w:sz w:val="16"/>
              </w:rPr>
              <w:t>Continuous</w:t>
            </w:r>
          </w:p>
        </w:tc>
        <w:tc>
          <w:tcPr>
            <w:tcW w:type="dxa" w:w="2610"/>
          </w:tcPr>
          <w:p>
            <w:pPr>
              <w:jc w:val="left"/>
            </w:pPr>
            <w:r>
              <w:rPr>
                <w:rFonts w:ascii="Times New Roman" w:hAnsi="Times New Roman"/>
                <w:sz w:val="16"/>
              </w:rPr>
              <w:t>Anomalous under spoofing or routing attack</w:t>
            </w:r>
          </w:p>
        </w:tc>
      </w:tr>
      <w:tr>
        <w:tc>
          <w:tcPr>
            <w:tcW w:type="dxa" w:w="2610"/>
          </w:tcPr>
          <w:p>
            <w:pPr>
              <w:jc w:val="left"/>
            </w:pPr>
            <w:r>
              <w:rPr>
                <w:rFonts w:ascii="Times New Roman" w:hAnsi="Times New Roman"/>
                <w:sz w:val="16"/>
              </w:rPr>
              <w:t>5</w:t>
            </w:r>
          </w:p>
        </w:tc>
        <w:tc>
          <w:tcPr>
            <w:tcW w:type="dxa" w:w="2610"/>
          </w:tcPr>
          <w:p>
            <w:pPr>
              <w:jc w:val="left"/>
            </w:pPr>
            <w:r>
              <w:rPr>
                <w:rFonts w:ascii="Times New Roman" w:hAnsi="Times New Roman"/>
                <w:sz w:val="16"/>
              </w:rPr>
              <w:t>Packet Loss Rate (%)</w:t>
            </w:r>
          </w:p>
        </w:tc>
        <w:tc>
          <w:tcPr>
            <w:tcW w:type="dxa" w:w="2610"/>
          </w:tcPr>
          <w:p>
            <w:pPr>
              <w:jc w:val="left"/>
            </w:pPr>
            <w:r>
              <w:rPr>
                <w:rFonts w:ascii="Times New Roman" w:hAnsi="Times New Roman"/>
                <w:sz w:val="16"/>
              </w:rPr>
              <w:t>Continuous</w:t>
            </w:r>
          </w:p>
        </w:tc>
        <w:tc>
          <w:tcPr>
            <w:tcW w:type="dxa" w:w="2610"/>
          </w:tcPr>
          <w:p>
            <w:pPr>
              <w:jc w:val="left"/>
            </w:pPr>
            <w:r>
              <w:rPr>
                <w:rFonts w:ascii="Times New Roman" w:hAnsi="Times New Roman"/>
                <w:sz w:val="16"/>
              </w:rPr>
              <w:t>Elevated under resource-exhaustion</w:t>
            </w:r>
          </w:p>
        </w:tc>
      </w:tr>
      <w:tr>
        <w:tc>
          <w:tcPr>
            <w:tcW w:type="dxa" w:w="2610"/>
          </w:tcPr>
          <w:p>
            <w:pPr>
              <w:jc w:val="left"/>
            </w:pPr>
            <w:r>
              <w:rPr>
                <w:rFonts w:ascii="Times New Roman" w:hAnsi="Times New Roman"/>
                <w:sz w:val="16"/>
              </w:rPr>
              <w:t>6</w:t>
            </w:r>
          </w:p>
        </w:tc>
        <w:tc>
          <w:tcPr>
            <w:tcW w:type="dxa" w:w="2610"/>
          </w:tcPr>
          <w:p>
            <w:pPr>
              <w:jc w:val="left"/>
            </w:pPr>
            <w:r>
              <w:rPr>
                <w:rFonts w:ascii="Times New Roman" w:hAnsi="Times New Roman"/>
                <w:sz w:val="16"/>
              </w:rPr>
              <w:t>Authentication Status</w:t>
            </w:r>
          </w:p>
        </w:tc>
        <w:tc>
          <w:tcPr>
            <w:tcW w:type="dxa" w:w="2610"/>
          </w:tcPr>
          <w:p>
            <w:pPr>
              <w:jc w:val="left"/>
            </w:pPr>
            <w:r>
              <w:rPr>
                <w:rFonts w:ascii="Times New Roman" w:hAnsi="Times New Roman"/>
                <w:sz w:val="16"/>
              </w:rPr>
              <w:t>Binary</w:t>
            </w:r>
          </w:p>
        </w:tc>
        <w:tc>
          <w:tcPr>
            <w:tcW w:type="dxa" w:w="2610"/>
          </w:tcPr>
          <w:p>
            <w:pPr>
              <w:jc w:val="left"/>
            </w:pPr>
            <w:r>
              <w:rPr>
                <w:rFonts w:ascii="Times New Roman" w:hAnsi="Times New Roman"/>
                <w:sz w:val="16"/>
              </w:rPr>
              <w:t>0 = auth failure (spoofing indicator)</w:t>
            </w:r>
          </w:p>
        </w:tc>
      </w:tr>
      <w:tr>
        <w:tc>
          <w:tcPr>
            <w:tcW w:type="dxa" w:w="2610"/>
          </w:tcPr>
          <w:p>
            <w:pPr>
              <w:jc w:val="left"/>
            </w:pPr>
            <w:r>
              <w:rPr>
                <w:rFonts w:ascii="Times New Roman" w:hAnsi="Times New Roman"/>
                <w:sz w:val="16"/>
              </w:rPr>
              <w:t>7</w:t>
            </w:r>
          </w:p>
        </w:tc>
        <w:tc>
          <w:tcPr>
            <w:tcW w:type="dxa" w:w="2610"/>
          </w:tcPr>
          <w:p>
            <w:pPr>
              <w:jc w:val="left"/>
            </w:pPr>
            <w:r>
              <w:rPr>
                <w:rFonts w:ascii="Times New Roman" w:hAnsi="Times New Roman"/>
                <w:sz w:val="16"/>
              </w:rPr>
              <w:t>Task Success Rate (%)</w:t>
            </w:r>
          </w:p>
        </w:tc>
        <w:tc>
          <w:tcPr>
            <w:tcW w:type="dxa" w:w="2610"/>
          </w:tcPr>
          <w:p>
            <w:pPr>
              <w:jc w:val="left"/>
            </w:pPr>
            <w:r>
              <w:rPr>
                <w:rFonts w:ascii="Times New Roman" w:hAnsi="Times New Roman"/>
                <w:sz w:val="16"/>
              </w:rPr>
              <w:t>Continuous</w:t>
            </w:r>
          </w:p>
        </w:tc>
        <w:tc>
          <w:tcPr>
            <w:tcW w:type="dxa" w:w="2610"/>
          </w:tcPr>
          <w:p>
            <w:pPr>
              <w:jc w:val="left"/>
            </w:pPr>
            <w:r>
              <w:rPr>
                <w:rFonts w:ascii="Times New Roman" w:hAnsi="Times New Roman"/>
                <w:sz w:val="16"/>
              </w:rPr>
              <w:t>Drops under Byzantine/data-injection attack</w:t>
            </w:r>
          </w:p>
        </w:tc>
      </w:tr>
      <w:tr>
        <w:tc>
          <w:tcPr>
            <w:tcW w:type="dxa" w:w="2610"/>
          </w:tcPr>
          <w:p>
            <w:pPr>
              <w:jc w:val="left"/>
            </w:pPr>
            <w:r>
              <w:rPr>
                <w:rFonts w:ascii="Times New Roman" w:hAnsi="Times New Roman"/>
                <w:sz w:val="16"/>
              </w:rPr>
              <w:t>8</w:t>
            </w:r>
          </w:p>
        </w:tc>
        <w:tc>
          <w:tcPr>
            <w:tcW w:type="dxa" w:w="2610"/>
          </w:tcPr>
          <w:p>
            <w:pPr>
              <w:jc w:val="left"/>
            </w:pPr>
            <w:r>
              <w:rPr>
                <w:rFonts w:ascii="Times New Roman" w:hAnsi="Times New Roman"/>
                <w:sz w:val="16"/>
              </w:rPr>
              <w:t>IDS Alert Count</w:t>
            </w:r>
          </w:p>
        </w:tc>
        <w:tc>
          <w:tcPr>
            <w:tcW w:type="dxa" w:w="2610"/>
          </w:tcPr>
          <w:p>
            <w:pPr>
              <w:jc w:val="left"/>
            </w:pPr>
            <w:r>
              <w:rPr>
                <w:rFonts w:ascii="Times New Roman" w:hAnsi="Times New Roman"/>
                <w:sz w:val="16"/>
              </w:rPr>
              <w:t>Integer</w:t>
            </w:r>
          </w:p>
        </w:tc>
        <w:tc>
          <w:tcPr>
            <w:tcW w:type="dxa" w:w="2610"/>
          </w:tcPr>
          <w:p>
            <w:pPr>
              <w:jc w:val="left"/>
            </w:pPr>
            <w:r>
              <w:rPr>
                <w:rFonts w:ascii="Times New Roman" w:hAnsi="Times New Roman"/>
                <w:sz w:val="16"/>
              </w:rPr>
              <w:t>Rises under any active attack type</w:t>
            </w:r>
          </w:p>
        </w:tc>
      </w:tr>
      <w:tr>
        <w:tc>
          <w:tcPr>
            <w:tcW w:type="dxa" w:w="2610"/>
          </w:tcPr>
          <w:p>
            <w:pPr>
              <w:jc w:val="left"/>
            </w:pPr>
            <w:r>
              <w:rPr>
                <w:rFonts w:ascii="Times New Roman" w:hAnsi="Times New Roman"/>
                <w:sz w:val="16"/>
              </w:rPr>
              <w:t>9</w:t>
            </w:r>
          </w:p>
        </w:tc>
        <w:tc>
          <w:tcPr>
            <w:tcW w:type="dxa" w:w="2610"/>
          </w:tcPr>
          <w:p>
            <w:pPr>
              <w:jc w:val="left"/>
            </w:pPr>
            <w:r>
              <w:rPr>
                <w:rFonts w:ascii="Times New Roman" w:hAnsi="Times New Roman"/>
                <w:sz w:val="16"/>
              </w:rPr>
              <w:t>Node Availability (ratio)</w:t>
            </w:r>
          </w:p>
        </w:tc>
        <w:tc>
          <w:tcPr>
            <w:tcW w:type="dxa" w:w="2610"/>
          </w:tcPr>
          <w:p>
            <w:pPr>
              <w:jc w:val="left"/>
            </w:pPr>
            <w:r>
              <w:rPr>
                <w:rFonts w:ascii="Times New Roman" w:hAnsi="Times New Roman"/>
                <w:sz w:val="16"/>
              </w:rPr>
              <w:t>Continuous</w:t>
            </w:r>
          </w:p>
        </w:tc>
        <w:tc>
          <w:tcPr>
            <w:tcW w:type="dxa" w:w="2610"/>
          </w:tcPr>
          <w:p>
            <w:pPr>
              <w:jc w:val="left"/>
            </w:pPr>
            <w:r>
              <w:rPr>
                <w:rFonts w:ascii="Times New Roman" w:hAnsi="Times New Roman"/>
                <w:sz w:val="16"/>
              </w:rPr>
              <w:t>Falls under intermittent compromise</w:t>
            </w:r>
          </w:p>
        </w:tc>
      </w:tr>
    </w:tbl>
    <w:p>
      <w:pPr>
        <w:spacing w:before="0" w:after="120"/>
        <w:jc w:val="both"/>
      </w:pPr>
    </w:p>
    <w:p>
      <w:pPr>
        <w:spacing w:before="240" w:after="80"/>
        <w:jc w:val="center"/>
      </w:pPr>
      <w:r>
        <w:rPr>
          <w:rFonts w:ascii="Times New Roman" w:hAnsi="Times New Roman"/>
          <w:b/>
          <w:i w:val="0"/>
          <w:caps/>
          <w:sz w:val="20"/>
        </w:rPr>
        <w:t>V.  Proposed Methodology</w:t>
      </w:r>
    </w:p>
    <w:p>
      <w:pPr>
        <w:spacing w:before="140" w:after="60"/>
        <w:jc w:val="left"/>
      </w:pPr>
      <w:r>
        <w:rPr>
          <w:rFonts w:ascii="Times New Roman" w:hAnsi="Times New Roman"/>
          <w:b/>
          <w:i/>
          <w:caps w:val="0"/>
          <w:sz w:val="20"/>
        </w:rPr>
        <w:t>A.  Trust Feature Engineering and Model Training</w:t>
      </w:r>
    </w:p>
    <w:p>
      <w:pPr>
        <w:spacing w:before="0" w:after="80"/>
        <w:ind w:firstLine="288"/>
        <w:jc w:val="both"/>
      </w:pPr>
      <w:r>
        <w:rPr>
          <w:rFonts w:ascii="Times New Roman" w:hAnsi="Times New Roman"/>
          <w:b w:val="0"/>
          <w:i w:val="0"/>
          <w:caps w:val="0"/>
          <w:sz w:val="20"/>
        </w:rPr>
        <w:t>The XGBoost trust classifier is trained on synthetic data generated to reflect realistic IoMT edge-node behaviour. We use 3,000 labelled samples with an 85%/15% legitimate/malicious class split. Critically, the training distribution includes deliberately overlapping sub-populations:</w:t>
      </w:r>
    </w:p>
    <w:p>
      <w:pPr>
        <w:spacing w:before="0" w:after="40"/>
        <w:ind w:firstLine="360"/>
        <w:jc w:val="both"/>
      </w:pPr>
      <w:r>
        <w:rPr>
          <w:rFonts w:ascii="Times New Roman" w:hAnsi="Times New Roman"/>
          <w:b w:val="0"/>
          <w:i w:val="0"/>
          <w:caps w:val="0"/>
          <w:sz w:val="20"/>
        </w:rPr>
        <w:t>Borderline stressed nodes (25% of legitimate class): Nodes under high load with elevated CPU, elevated queue length, and reduced task success rate — mimicking transient overload that should not trigger false trust rejection.</w:t>
      </w:r>
    </w:p>
    <w:p>
      <w:pPr>
        <w:spacing w:before="0" w:after="40"/>
        <w:ind w:firstLine="360"/>
        <w:jc w:val="both"/>
      </w:pPr>
      <w:r>
        <w:rPr>
          <w:rFonts w:ascii="Times New Roman" w:hAnsi="Times New Roman"/>
          <w:b w:val="0"/>
          <w:i w:val="0"/>
          <w:caps w:val="0"/>
          <w:sz w:val="20"/>
        </w:rPr>
        <w:t>Stealthy attackers (45% of malicious class): Compromised nodes that partially mimic legitimate behaviour (moderate CPU, near-normal latency) to evade simple threshold-based detection.</w:t>
      </w:r>
    </w:p>
    <w:p>
      <w:pPr>
        <w:spacing w:before="0" w:after="80"/>
        <w:ind w:firstLine="288"/>
        <w:jc w:val="both"/>
      </w:pPr>
      <w:r>
        <w:rPr>
          <w:rFonts w:ascii="Times New Roman" w:hAnsi="Times New Roman"/>
          <w:b w:val="0"/>
          <w:i w:val="0"/>
          <w:caps w:val="0"/>
          <w:sz w:val="20"/>
        </w:rPr>
        <w:t>This intentional distributional overlap prevents the classifier from learning a trivially separable decision boundary, producing realistic sub-perfect classification accuracy rather than artificially inflated scores. Pre-processing applies MinMaxScaler normalisation to all continuous features and SMOTE oversampling on the minority (malicious) class in the training split. Hyperparameters: n_estimators=100, max_depth=4, scale_pos_weight=5 (to further address class imbalance).</w:t>
      </w:r>
    </w:p>
    <w:p>
      <w:pPr>
        <w:spacing w:before="0" w:after="80"/>
        <w:ind w:firstLine="288"/>
        <w:jc w:val="both"/>
      </w:pPr>
      <w:r>
        <w:rPr>
          <w:rFonts w:ascii="Times New Roman" w:hAnsi="Times New Roman"/>
          <w:b w:val="0"/>
          <w:i w:val="0"/>
          <w:caps w:val="0"/>
          <w:sz w:val="20"/>
        </w:rPr>
        <w:t>Initial model training uses WARMUP_WINDOWS = 8 monitoring windows from a historical calibration dataset (separate nodes: 3 legitimate, 2 malicious from t=0). This ensures both classes are represented regardless of the evaluation scenario's attack timing, preventing cold-start label deficiency.</w:t>
      </w:r>
    </w:p>
    <w:p>
      <w:pPr>
        <w:spacing w:before="140" w:after="60"/>
        <w:jc w:val="left"/>
      </w:pPr>
      <w:r>
        <w:rPr>
          <w:rFonts w:ascii="Times New Roman" w:hAnsi="Times New Roman"/>
          <w:b/>
          <w:i/>
          <w:caps w:val="0"/>
          <w:sz w:val="20"/>
        </w:rPr>
        <w:t>B.  Adaptive Online Retraining Protocol</w:t>
      </w:r>
    </w:p>
    <w:p>
      <w:pPr>
        <w:spacing w:before="0" w:after="80"/>
        <w:ind w:firstLine="288"/>
        <w:jc w:val="both"/>
      </w:pPr>
      <w:r>
        <w:rPr>
          <w:rFonts w:ascii="Times New Roman" w:hAnsi="Times New Roman"/>
          <w:b w:val="0"/>
          <w:i w:val="0"/>
          <w:caps w:val="0"/>
          <w:sz w:val="20"/>
        </w:rPr>
        <w:t>The TAHTO trust model is not static. After every UPDATE_EVERY = 50 tasks (approximately one monitoring window), the following protocol executes (Fig. 2):</w:t>
      </w:r>
    </w:p>
    <w:p>
      <w:pPr>
        <w:spacing w:before="160" w:after="40"/>
        <w:jc w:val="center"/>
      </w:pPr>
      <w:r>
        <w:rPr>
          <w:rFonts w:ascii="Times New Roman" w:hAnsi="Times New Roman"/>
          <w:b/>
          <w:i w:val="0"/>
          <w:caps w:val="0"/>
          <w:sz w:val="18"/>
        </w:rPr>
        <w:t>Algorithm 1: TAHTO Online Trust Adaptation Protocol</w:t>
      </w:r>
    </w:p>
    <w:tbl>
      <w:tblPr>
        <w:tblStyle w:val="TableGrid"/>
        <w:tblW w:type="auto" w:w="0"/>
        <w:tblLook w:firstColumn="1" w:firstRow="1" w:lastColumn="0" w:lastRow="0" w:noHBand="0" w:noVBand="1" w:val="04A0"/>
      </w:tblPr>
      <w:tblGrid>
        <w:gridCol w:w="10440"/>
      </w:tblGrid>
      <w:tr>
        <w:tc>
          <w:tcPr>
            <w:tcW w:type="dxa" w:w="10440"/>
          </w:tcPr>
          <w:p>
            <w:pPr>
              <w:spacing w:before="0" w:after="0"/>
            </w:pPr>
            <w:r>
              <w:rPr>
                <w:rFonts w:ascii="Courier New" w:hAnsi="Courier New"/>
                <w:sz w:val="16"/>
              </w:rPr>
              <w:t>INPUT:  current window telemetry X_w, labels Y_w</w:t>
            </w:r>
          </w:p>
        </w:tc>
      </w:tr>
      <w:tr>
        <w:tc>
          <w:tcPr>
            <w:tcW w:type="dxa" w:w="10440"/>
          </w:tcPr>
          <w:p>
            <w:pPr>
              <w:spacing w:before="0" w:after="0"/>
            </w:pPr>
            <w:r>
              <w:rPr>
                <w:rFonts w:ascii="Courier New" w:hAnsi="Courier New"/>
                <w:sz w:val="16"/>
              </w:rPr>
              <w:t>INPUT:  accumulated training set (X_train, Y_train)</w:t>
            </w:r>
          </w:p>
        </w:tc>
      </w:tr>
      <w:tr>
        <w:tc>
          <w:tcPr>
            <w:tcW w:type="dxa" w:w="10440"/>
          </w:tcPr>
          <w:p>
            <w:pPr>
              <w:spacing w:before="0" w:after="0"/>
            </w:pPr>
            <w:r>
              <w:rPr>
                <w:rFonts w:ascii="Courier New" w:hAnsi="Courier New"/>
                <w:sz w:val="16"/>
              </w:rPr>
              <w:t>INPUT:  trained XGBoost model M</w:t>
            </w:r>
          </w:p>
        </w:tc>
      </w:tr>
      <w:tr>
        <w:tc>
          <w:tcPr>
            <w:tcW w:type="dxa" w:w="10440"/>
          </w:tcPr>
          <w:p>
            <w:pPr>
              <w:spacing w:before="0" w:after="0"/>
            </w:pPr>
            <w:r>
              <w:rPr>
                <w:rFonts w:ascii="Courier New" w:hAnsi="Courier New"/>
                <w:sz w:val="16"/>
              </w:rPr>
            </w:r>
          </w:p>
        </w:tc>
      </w:tr>
      <w:tr>
        <w:tc>
          <w:tcPr>
            <w:tcW w:type="dxa" w:w="10440"/>
          </w:tcPr>
          <w:p>
            <w:pPr>
              <w:spacing w:before="0" w:after="0"/>
            </w:pPr>
            <w:r>
              <w:rPr>
                <w:rFonts w:ascii="Courier New" w:hAnsi="Courier New"/>
                <w:sz w:val="16"/>
              </w:rPr>
              <w:t>1: Evaluate M on (X_w, Y_w)  // test on unseen window FIRST</w:t>
            </w:r>
          </w:p>
        </w:tc>
      </w:tr>
      <w:tr>
        <w:tc>
          <w:tcPr>
            <w:tcW w:type="dxa" w:w="10440"/>
          </w:tcPr>
          <w:p>
            <w:pPr>
              <w:spacing w:before="0" w:after="0"/>
            </w:pPr>
            <w:r>
              <w:rPr>
                <w:rFonts w:ascii="Courier New" w:hAnsi="Courier New"/>
                <w:sz w:val="16"/>
              </w:rPr>
              <w:t xml:space="preserve">   record accuracy, precision, recall, F1 for this window</w:t>
            </w:r>
          </w:p>
        </w:tc>
      </w:tr>
      <w:tr>
        <w:tc>
          <w:tcPr>
            <w:tcW w:type="dxa" w:w="10440"/>
          </w:tcPr>
          <w:p>
            <w:pPr>
              <w:spacing w:before="0" w:after="0"/>
            </w:pPr>
            <w:r>
              <w:rPr>
                <w:rFonts w:ascii="Courier New" w:hAnsi="Courier New"/>
                <w:sz w:val="16"/>
              </w:rPr>
            </w:r>
          </w:p>
        </w:tc>
      </w:tr>
      <w:tr>
        <w:tc>
          <w:tcPr>
            <w:tcW w:type="dxa" w:w="10440"/>
          </w:tcPr>
          <w:p>
            <w:pPr>
              <w:spacing w:before="0" w:after="0"/>
            </w:pPr>
            <w:r>
              <w:rPr>
                <w:rFonts w:ascii="Courier New" w:hAnsi="Courier New"/>
                <w:sz w:val="16"/>
              </w:rPr>
              <w:t>2: Append X_w to X_train; append Y_w to Y_train</w:t>
            </w:r>
          </w:p>
        </w:tc>
      </w:tr>
      <w:tr>
        <w:tc>
          <w:tcPr>
            <w:tcW w:type="dxa" w:w="10440"/>
          </w:tcPr>
          <w:p>
            <w:pPr>
              <w:spacing w:before="0" w:after="0"/>
            </w:pPr>
            <w:r>
              <w:rPr>
                <w:rFonts w:ascii="Courier New" w:hAnsi="Courier New"/>
                <w:sz w:val="16"/>
              </w:rPr>
            </w:r>
          </w:p>
        </w:tc>
      </w:tr>
      <w:tr>
        <w:tc>
          <w:tcPr>
            <w:tcW w:type="dxa" w:w="10440"/>
          </w:tcPr>
          <w:p>
            <w:pPr>
              <w:spacing w:before="0" w:after="0"/>
            </w:pPr>
            <w:r>
              <w:rPr>
                <w:rFonts w:ascii="Courier New" w:hAnsi="Courier New"/>
                <w:sz w:val="16"/>
              </w:rPr>
              <w:t>3: IF both classes present in Y_train THEN</w:t>
            </w:r>
          </w:p>
        </w:tc>
      </w:tr>
      <w:tr>
        <w:tc>
          <w:tcPr>
            <w:tcW w:type="dxa" w:w="10440"/>
          </w:tcPr>
          <w:p>
            <w:pPr>
              <w:spacing w:before="0" w:after="0"/>
            </w:pPr>
            <w:r>
              <w:rPr>
                <w:rFonts w:ascii="Courier New" w:hAnsi="Courier New"/>
                <w:sz w:val="16"/>
              </w:rPr>
              <w:t xml:space="preserve">     Apply SMOTE to training split</w:t>
            </w:r>
          </w:p>
        </w:tc>
      </w:tr>
      <w:tr>
        <w:tc>
          <w:tcPr>
            <w:tcW w:type="dxa" w:w="10440"/>
          </w:tcPr>
          <w:p>
            <w:pPr>
              <w:spacing w:before="0" w:after="0"/>
            </w:pPr>
            <w:r>
              <w:rPr>
                <w:rFonts w:ascii="Courier New" w:hAnsi="Courier New"/>
                <w:sz w:val="16"/>
              </w:rPr>
              <w:t xml:space="preserve">     M.fit(X_train, Y_train)  // retrain on all accumulated data</w:t>
            </w:r>
          </w:p>
        </w:tc>
      </w:tr>
      <w:tr>
        <w:tc>
          <w:tcPr>
            <w:tcW w:type="dxa" w:w="10440"/>
          </w:tcPr>
          <w:p>
            <w:pPr>
              <w:spacing w:before="0" w:after="0"/>
            </w:pPr>
            <w:r>
              <w:rPr>
                <w:rFonts w:ascii="Courier New" w:hAnsi="Courier New"/>
                <w:sz w:val="16"/>
              </w:rPr>
              <w:t>4: END IF</w:t>
            </w:r>
          </w:p>
        </w:tc>
      </w:tr>
      <w:tr>
        <w:tc>
          <w:tcPr>
            <w:tcW w:type="dxa" w:w="10440"/>
          </w:tcPr>
          <w:p>
            <w:pPr>
              <w:spacing w:before="0" w:after="0"/>
            </w:pPr>
            <w:r>
              <w:rPr>
                <w:rFonts w:ascii="Courier New" w:hAnsi="Courier New"/>
                <w:sz w:val="16"/>
              </w:rPr>
            </w:r>
          </w:p>
        </w:tc>
      </w:tr>
      <w:tr>
        <w:tc>
          <w:tcPr>
            <w:tcW w:type="dxa" w:w="10440"/>
          </w:tcPr>
          <w:p>
            <w:pPr>
              <w:spacing w:before="0" w:after="0"/>
            </w:pPr>
            <w:r>
              <w:rPr>
                <w:rFonts w:ascii="Courier New" w:hAnsi="Courier New"/>
                <w:sz w:val="16"/>
              </w:rPr>
              <w:t>5: FOR each node n IN edge_nodes DO</w:t>
            </w:r>
          </w:p>
        </w:tc>
      </w:tr>
      <w:tr>
        <w:tc>
          <w:tcPr>
            <w:tcW w:type="dxa" w:w="10440"/>
          </w:tcPr>
          <w:p>
            <w:pPr>
              <w:spacing w:before="0" w:after="0"/>
            </w:pPr>
            <w:r>
              <w:rPr>
                <w:rFonts w:ascii="Courier New" w:hAnsi="Courier New"/>
                <w:sz w:val="16"/>
              </w:rPr>
              <w:t xml:space="preserve">     T(n) = M.predict_proba(n.features())[1]  // update trust score</w:t>
            </w:r>
          </w:p>
        </w:tc>
      </w:tr>
      <w:tr>
        <w:tc>
          <w:tcPr>
            <w:tcW w:type="dxa" w:w="10440"/>
          </w:tcPr>
          <w:p>
            <w:pPr>
              <w:spacing w:before="0" w:after="0"/>
            </w:pPr>
            <w:r>
              <w:rPr>
                <w:rFonts w:ascii="Courier New" w:hAnsi="Courier New"/>
                <w:sz w:val="16"/>
              </w:rPr>
              <w:t>6: END FOR</w:t>
            </w:r>
          </w:p>
        </w:tc>
      </w:tr>
      <w:tr>
        <w:tc>
          <w:tcPr>
            <w:tcW w:type="dxa" w:w="10440"/>
          </w:tcPr>
          <w:p>
            <w:pPr>
              <w:spacing w:before="0" w:after="0"/>
            </w:pPr>
            <w:r>
              <w:rPr>
                <w:rFonts w:ascii="Courier New" w:hAnsi="Courier New"/>
                <w:sz w:val="16"/>
              </w:rPr>
            </w:r>
          </w:p>
        </w:tc>
      </w:tr>
      <w:tr>
        <w:tc>
          <w:tcPr>
            <w:tcW w:type="dxa" w:w="10440"/>
          </w:tcPr>
          <w:p>
            <w:pPr>
              <w:spacing w:before="0" w:after="0"/>
            </w:pPr>
            <w:r>
              <w:rPr>
                <w:rFonts w:ascii="Courier New" w:hAnsi="Courier New"/>
                <w:sz w:val="16"/>
              </w:rPr>
              <w:t>OUTPUT: Updated trust scores T(n) for all nodes</w:t>
            </w:r>
          </w:p>
        </w:tc>
      </w:tr>
    </w:tbl>
    <w:p>
      <w:pPr>
        <w:spacing w:before="0" w:after="120"/>
        <w:jc w:val="both"/>
      </w:pPr>
    </w:p>
    <w:p>
      <w:pPr>
        <w:spacing w:before="0" w:after="80"/>
        <w:ind w:firstLine="288"/>
        <w:jc w:val="both"/>
      </w:pPr>
      <w:r>
        <w:rPr>
          <w:rFonts w:ascii="Times New Roman" w:hAnsi="Times New Roman"/>
          <w:b w:val="0"/>
          <w:i w:val="0"/>
          <w:caps w:val="0"/>
          <w:sz w:val="20"/>
        </w:rPr>
        <w:t>Step 1 (evaluate before retrain) is critical for honest reporting: it captures true online generalisation performance on data the model has not yet seen. Step 2-4 ensures the model adapts to post-onset attack behaviour — as the attacker's telemetry pattern becomes available in the training set, the model learns to distinguish it from legitimate behaviour even when it partially mimics benign nodes.</w:t>
      </w:r>
    </w:p>
    <w:p>
      <w:pPr>
        <w:sectPr>
          <w:type w:val="continuous"/>
          <w:pgSz w:w="12240" w:h="15840"/>
          <w:pgMar w:top="1080" w:right="900" w:bottom="1440" w:left="900" w:header="720" w:footer="720" w:gutter="0"/>
          <w:docGrid w:linePitch="360"/>
          <w:cols w:num="2" w:space="720"/>
        </w:sectPr>
      </w:pPr>
    </w:p>
    <w:p>
      <w:pPr>
        <w:spacing w:before="120" w:after="0"/>
        <w:jc w:val="center"/>
      </w:pPr>
      <w:r>
        <w:drawing>
          <wp:inline xmlns:a="http://schemas.openxmlformats.org/drawingml/2006/main" xmlns:pic="http://schemas.openxmlformats.org/drawingml/2006/picture">
            <wp:extent cx="5943600" cy="2247580"/>
            <wp:docPr id="2" name="Picture 2"/>
            <wp:cNvGraphicFramePr>
              <a:graphicFrameLocks noChangeAspect="1"/>
            </wp:cNvGraphicFramePr>
            <a:graphic>
              <a:graphicData uri="http://schemas.openxmlformats.org/drawingml/2006/picture">
                <pic:pic>
                  <pic:nvPicPr>
                    <pic:cNvPr id="0" name="fig_trust_pipeline.png"/>
                    <pic:cNvPicPr/>
                  </pic:nvPicPr>
                  <pic:blipFill>
                    <a:blip r:embed="rId10"/>
                    <a:stretch>
                      <a:fillRect/>
                    </a:stretch>
                  </pic:blipFill>
                  <pic:spPr>
                    <a:xfrm>
                      <a:off x="0" y="0"/>
                      <a:ext cx="5943600" cy="2247580"/>
                    </a:xfrm>
                    <a:prstGeom prst="rect"/>
                  </pic:spPr>
                </pic:pic>
              </a:graphicData>
            </a:graphic>
          </wp:inline>
        </w:drawing>
      </w:r>
    </w:p>
    <w:p>
      <w:pPr>
        <w:spacing w:before="60" w:after="200"/>
        <w:jc w:val="center"/>
      </w:pPr>
      <w:r>
        <w:rPr>
          <w:rFonts w:ascii="Times New Roman" w:hAnsi="Times New Roman"/>
          <w:b w:val="0"/>
          <w:i/>
          <w:caps w:val="0"/>
          <w:sz w:val="18"/>
        </w:rPr>
        <w:t>Fig. 2.  TAHTO Adaptive Trust Prediction and Scheduling Pipeline. Historical calibration data provides the initial model. Each subsequent monitoring window is evaluated on the unseen window first (recording online metrics), then added to the training set for retraining. Trust scores are immediately applied to all routing decisions.</w:t>
      </w:r>
    </w:p>
    <w:p>
      <w:pPr>
        <w:sectPr>
          <w:type w:val="continuous"/>
          <w:pgSz w:w="12240" w:h="15840"/>
          <w:pgMar w:top="1080" w:right="900" w:bottom="1440" w:left="900" w:header="720" w:footer="720" w:gutter="0"/>
          <w:docGrid w:linePitch="360"/>
          <w:cols w:num="1"/>
        </w:sectPr>
      </w:pPr>
    </w:p>
    <w:p>
      <w:pPr>
        <w:spacing w:before="140" w:after="60"/>
        <w:jc w:val="left"/>
      </w:pPr>
      <w:r>
        <w:rPr>
          <w:rFonts w:ascii="Times New Roman" w:hAnsi="Times New Roman"/>
          <w:b/>
          <w:i/>
          <w:caps w:val="0"/>
          <w:sz w:val="20"/>
        </w:rPr>
        <w:t>C.  Multi-Objective Scheduling with Min-Max Normalisation</w:t>
      </w:r>
    </w:p>
    <w:p>
      <w:pPr>
        <w:spacing w:before="0" w:after="80"/>
        <w:ind w:firstLine="288"/>
        <w:jc w:val="both"/>
      </w:pPr>
      <w:r>
        <w:rPr>
          <w:rFonts w:ascii="Times New Roman" w:hAnsi="Times New Roman"/>
          <w:b w:val="0"/>
          <w:i w:val="0"/>
          <w:caps w:val="0"/>
          <w:sz w:val="20"/>
        </w:rPr>
        <w:t>For each arriving task i, TAHTO evaluates all candidate edge nodes that have passed the trust gate (Section V-D). For a candidate set C_i, the composite scheduling score is:</w:t>
      </w:r>
    </w:p>
    <w:p>
      <w:pPr>
        <w:spacing w:before="60" w:after="60"/>
        <w:jc w:val="center"/>
      </w:pPr>
      <w:r>
        <w:rPr>
          <w:rFonts w:ascii="Courier New" w:hAnsi="Courier New"/>
          <w:b w:val="0"/>
          <w:i w:val="0"/>
          <w:caps w:val="0"/>
          <w:sz w:val="18"/>
        </w:rPr>
        <w:t>Score(i, n) = α·L_norm(n) + β·E_norm(n) + γ·QoS(i,n) + δ·T(n)  (2)</w:t>
      </w:r>
    </w:p>
    <w:p>
      <w:pPr>
        <w:spacing w:before="0" w:after="80"/>
        <w:jc w:val="both"/>
      </w:pPr>
      <w:r>
        <w:rPr>
          <w:rFonts w:ascii="Times New Roman" w:hAnsi="Times New Roman"/>
          <w:b w:val="0"/>
          <w:i w:val="0"/>
          <w:caps w:val="0"/>
          <w:sz w:val="20"/>
        </w:rPr>
        <w:t>where α=0.30, β=0.20, γ=0.20, δ=0.30, and α+β+γ+δ=1. L_norm and E_norm are min-max benefit scores computed across the candidate set:</w:t>
      </w:r>
    </w:p>
    <w:p>
      <w:pPr>
        <w:spacing w:before="60" w:after="60"/>
        <w:jc w:val="center"/>
      </w:pPr>
      <w:r>
        <w:rPr>
          <w:rFonts w:ascii="Courier New" w:hAnsi="Courier New"/>
          <w:b w:val="0"/>
          <w:i w:val="0"/>
          <w:caps w:val="0"/>
          <w:sz w:val="18"/>
        </w:rPr>
        <w:t>L_norm(n) = (max_{k∈C_i} Lat(k) − Lat(n)) / (max_{k} Lat(k) − min_{k} Lat(k))  (3)</w:t>
      </w:r>
    </w:p>
    <w:p>
      <w:pPr>
        <w:spacing w:before="60" w:after="60"/>
        <w:jc w:val="center"/>
      </w:pPr>
      <w:r>
        <w:rPr>
          <w:rFonts w:ascii="Courier New" w:hAnsi="Courier New"/>
          <w:b w:val="0"/>
          <w:i w:val="0"/>
          <w:caps w:val="0"/>
          <w:sz w:val="18"/>
        </w:rPr>
        <w:t>E_norm(n) = (max_{k∈C_i} Eng(k) − Eng(k)) / (max_{k} Eng(k) − min_{k} Eng(k))  (4)</w:t>
      </w:r>
    </w:p>
    <w:p>
      <w:pPr>
        <w:spacing w:before="0" w:after="80"/>
        <w:jc w:val="both"/>
      </w:pPr>
      <w:r>
        <w:rPr>
          <w:rFonts w:ascii="Times New Roman" w:hAnsi="Times New Roman"/>
          <w:b w:val="0"/>
          <w:i w:val="0"/>
          <w:caps w:val="0"/>
          <w:sz w:val="20"/>
        </w:rPr>
        <w:t>If all candidates have equal latency (or energy), L_norm = E_norm = 1 for all. The end-to-end latency estimate for node n is:</w:t>
      </w:r>
    </w:p>
    <w:p>
      <w:pPr>
        <w:spacing w:before="60" w:after="60"/>
        <w:jc w:val="center"/>
      </w:pPr>
      <w:r>
        <w:rPr>
          <w:rFonts w:ascii="Courier New" w:hAnsi="Courier New"/>
          <w:b w:val="0"/>
          <w:i w:val="0"/>
          <w:caps w:val="0"/>
          <w:sz w:val="18"/>
        </w:rPr>
        <w:t>Lat(i, n) = T_tx + T_queue + T_proc  (5)</w:t>
      </w:r>
    </w:p>
    <w:p>
      <w:pPr>
        <w:spacing w:before="0" w:after="80"/>
        <w:jc w:val="both"/>
      </w:pPr>
      <w:r>
        <w:rPr>
          <w:rFonts w:ascii="Times New Roman" w:hAnsi="Times New Roman"/>
          <w:b w:val="0"/>
          <w:i w:val="0"/>
          <w:caps w:val="0"/>
          <w:sz w:val="20"/>
        </w:rPr>
        <w:t>where T_tx = d_i / (B_n × 10³) × 10³ ms (transmission at bandwidth B_n), T_queue is the waiting time until node n is available (from its task queue), and T_proc = c_i / (f_n × 10⁹) ms (processing at node frequency f_n GHz). The QoS term is a deadline-aware step function:</w:t>
      </w:r>
    </w:p>
    <w:p>
      <w:pPr>
        <w:spacing w:before="60" w:after="60"/>
        <w:jc w:val="center"/>
      </w:pPr>
      <w:r>
        <w:rPr>
          <w:rFonts w:ascii="Courier New" w:hAnsi="Courier New"/>
          <w:b w:val="0"/>
          <w:i w:val="0"/>
          <w:caps w:val="0"/>
          <w:sz w:val="18"/>
        </w:rPr>
        <w:t>QoS(i, n) = 1.0   if  Lat(i,n) ≤ 0.70 · τ_i  (6a)</w:t>
      </w:r>
    </w:p>
    <w:p>
      <w:pPr>
        <w:spacing w:before="60" w:after="60"/>
        <w:jc w:val="center"/>
      </w:pPr>
      <w:r>
        <w:rPr>
          <w:rFonts w:ascii="Courier New" w:hAnsi="Courier New"/>
          <w:b w:val="0"/>
          <w:i w:val="0"/>
          <w:caps w:val="0"/>
          <w:sz w:val="18"/>
        </w:rPr>
        <w:t xml:space="preserve">          = 0.7   if  Lat(i,n) ≤ τ_i             (6b)</w:t>
      </w:r>
    </w:p>
    <w:p>
      <w:pPr>
        <w:spacing w:before="60" w:after="60"/>
        <w:jc w:val="center"/>
      </w:pPr>
      <w:r>
        <w:rPr>
          <w:rFonts w:ascii="Courier New" w:hAnsi="Courier New"/>
          <w:b w:val="0"/>
          <w:i w:val="0"/>
          <w:caps w:val="0"/>
          <w:sz w:val="18"/>
        </w:rPr>
        <w:t xml:space="preserve">          = 0.2   otherwise                      (6c)</w:t>
      </w:r>
    </w:p>
    <w:p>
      <w:pPr>
        <w:spacing w:before="0" w:after="80"/>
        <w:ind w:firstLine="288"/>
        <w:jc w:val="both"/>
      </w:pPr>
      <w:r>
        <w:rPr>
          <w:rFonts w:ascii="Times New Roman" w:hAnsi="Times New Roman"/>
          <w:b w:val="0"/>
          <w:i w:val="0"/>
          <w:caps w:val="0"/>
          <w:sz w:val="20"/>
        </w:rPr>
        <w:t>The node n* = argmax_{n∈C_i} Score(i, n) receives the task assignment. Min-max normalisation ensures the α and β weights are directly interpretable as relative importance fractions, independent of the absolute scale of latency or energy values across different scenarios.</w:t>
      </w:r>
    </w:p>
    <w:p>
      <w:pPr>
        <w:spacing w:before="140" w:after="60"/>
        <w:jc w:val="left"/>
      </w:pPr>
      <w:r>
        <w:rPr>
          <w:rFonts w:ascii="Times New Roman" w:hAnsi="Times New Roman"/>
          <w:b/>
          <w:i/>
          <w:caps w:val="0"/>
          <w:sz w:val="20"/>
        </w:rPr>
        <w:t>D.  Trust Gate and Adaptive Cloud Escalation</w:t>
      </w:r>
    </w:p>
    <w:p>
      <w:pPr>
        <w:spacing w:before="0" w:after="80"/>
        <w:ind w:firstLine="288"/>
        <w:jc w:val="both"/>
      </w:pPr>
      <w:r>
        <w:rPr>
          <w:rFonts w:ascii="Times New Roman" w:hAnsi="Times New Roman"/>
          <w:b w:val="0"/>
          <w:i w:val="0"/>
          <w:caps w:val="0"/>
          <w:sz w:val="20"/>
        </w:rPr>
        <w:t>Before composite scoring, TAHTO applies two sequential hard trust gates that unconditionally exclude unsafe nodes:</w:t>
      </w:r>
    </w:p>
    <w:p>
      <w:pPr>
        <w:spacing w:before="60" w:after="60"/>
        <w:jc w:val="center"/>
      </w:pPr>
      <w:r>
        <w:rPr>
          <w:rFonts w:ascii="Courier New" w:hAnsi="Courier New"/>
          <w:b w:val="0"/>
          <w:i w:val="0"/>
          <w:caps w:val="0"/>
          <w:sz w:val="18"/>
        </w:rPr>
        <w:t>Gate 1 (all tasks):        exclude n  if  T(n) &lt; T_min = 0.50  (7)</w:t>
      </w:r>
    </w:p>
    <w:p>
      <w:pPr>
        <w:spacing w:before="60" w:after="60"/>
        <w:jc w:val="center"/>
      </w:pPr>
      <w:r>
        <w:rPr>
          <w:rFonts w:ascii="Courier New" w:hAnsi="Courier New"/>
          <w:b w:val="0"/>
          <w:i w:val="0"/>
          <w:caps w:val="0"/>
          <w:sz w:val="18"/>
        </w:rPr>
        <w:t>Gate 2 (High sensitivity): exclude n  if  T(n) &lt; T_high = 0.70  (8)</w:t>
      </w:r>
    </w:p>
    <w:p>
      <w:pPr>
        <w:spacing w:before="0" w:after="80"/>
        <w:ind w:firstLine="288"/>
        <w:jc w:val="both"/>
      </w:pPr>
      <w:r>
        <w:rPr>
          <w:rFonts w:ascii="Times New Roman" w:hAnsi="Times New Roman"/>
          <w:b w:val="0"/>
          <w:i w:val="0"/>
          <w:caps w:val="0"/>
          <w:sz w:val="20"/>
        </w:rPr>
        <w:t>Gate 1 implements the NIST Zero-Trust principle at the compute layer: no edge node with trust score below 0.50 is ever used, regardless of how attractive its latency or QoS scores appear. Gate 2 provides additional protection for High-sensitivity clinical tasks (e.g., arrhythmia analysis, drug dosage decisions) that require higher confidence in node integrity.</w:t>
      </w:r>
    </w:p>
    <w:p>
      <w:pPr>
        <w:spacing w:before="0" w:after="80"/>
        <w:ind w:firstLine="288"/>
        <w:jc w:val="both"/>
      </w:pPr>
      <w:r>
        <w:rPr>
          <w:rFonts w:ascii="Times New Roman" w:hAnsi="Times New Roman"/>
          <w:b w:val="0"/>
          <w:i w:val="0"/>
          <w:caps w:val="0"/>
          <w:sz w:val="20"/>
        </w:rPr>
        <w:t>After gating, cloud escalation is triggered by any of three conditions:</w:t>
      </w:r>
    </w:p>
    <w:p>
      <w:pPr>
        <w:spacing w:before="0" w:after="40"/>
        <w:ind w:firstLine="360"/>
        <w:jc w:val="both"/>
      </w:pPr>
      <w:r>
        <w:rPr>
          <w:rFonts w:ascii="Times New Roman" w:hAnsi="Times New Roman"/>
          <w:b w:val="0"/>
          <w:i w:val="0"/>
          <w:caps w:val="0"/>
          <w:sz w:val="20"/>
        </w:rPr>
        <w:t>Condition 1: No edge node passes Gate 1 (all nodes distrusted).</w:t>
      </w:r>
    </w:p>
    <w:p>
      <w:pPr>
        <w:spacing w:before="0" w:after="40"/>
        <w:ind w:firstLine="360"/>
        <w:jc w:val="both"/>
      </w:pPr>
      <w:r>
        <w:rPr>
          <w:rFonts w:ascii="Times New Roman" w:hAnsi="Times New Roman"/>
          <w:b w:val="0"/>
          <w:i w:val="0"/>
          <w:caps w:val="0"/>
          <w:sz w:val="20"/>
        </w:rPr>
        <w:t>Condition 2: Task has s_i = High and no node passes Gate 2.</w:t>
      </w:r>
    </w:p>
    <w:p>
      <w:pPr>
        <w:spacing w:before="0" w:after="40"/>
        <w:ind w:firstLine="360"/>
        <w:jc w:val="both"/>
      </w:pPr>
      <w:r>
        <w:rPr>
          <w:rFonts w:ascii="Times New Roman" w:hAnsi="Times New Roman"/>
          <w:b w:val="0"/>
          <w:i w:val="0"/>
          <w:caps w:val="0"/>
          <w:sz w:val="20"/>
        </w:rPr>
        <w:t>Condition 3: All gate-passing nodes are queue-saturated (queue_depth ≥ MAX_QUEUE_DEPTH = 8).</w:t>
      </w:r>
    </w:p>
    <w:p>
      <w:pPr>
        <w:spacing w:before="0" w:after="80"/>
        <w:ind w:firstLine="288"/>
        <w:jc w:val="both"/>
      </w:pPr>
      <w:r>
        <w:rPr>
          <w:rFonts w:ascii="Times New Roman" w:hAnsi="Times New Roman"/>
          <w:b w:val="0"/>
          <w:i w:val="0"/>
          <w:caps w:val="0"/>
          <w:sz w:val="20"/>
        </w:rPr>
        <w:t>Condition 3 is critical for the S6 scenario: with only one legitimate node operating at 5 Mbps bandwidth, that node's queue saturates rapidly. Without Condition 3, all remaining tasks would pile up at a single hot-spot edge node, producing unbounded queue latency. TAHTO detects this state and escalates to the trusted cloud (100 ms flat latency), trading some latency for predictable, secure completion.</w:t>
      </w:r>
    </w:p>
    <w:p>
      <w:pPr>
        <w:spacing w:before="240" w:after="80"/>
        <w:jc w:val="center"/>
      </w:pPr>
      <w:r>
        <w:rPr>
          <w:rFonts w:ascii="Times New Roman" w:hAnsi="Times New Roman"/>
          <w:b/>
          <w:i w:val="0"/>
          <w:caps/>
          <w:sz w:val="20"/>
        </w:rPr>
        <w:t>VI.  Experimental Evaluation</w:t>
      </w:r>
    </w:p>
    <w:p>
      <w:pPr>
        <w:spacing w:before="140" w:after="60"/>
        <w:jc w:val="left"/>
      </w:pPr>
      <w:r>
        <w:rPr>
          <w:rFonts w:ascii="Times New Roman" w:hAnsi="Times New Roman"/>
          <w:b/>
          <w:i/>
          <w:caps w:val="0"/>
          <w:sz w:val="20"/>
        </w:rPr>
        <w:t>A.  Simulation Setup and Baselines</w:t>
      </w:r>
    </w:p>
    <w:p>
      <w:pPr>
        <w:spacing w:before="0" w:after="80"/>
        <w:ind w:firstLine="288"/>
        <w:jc w:val="both"/>
      </w:pPr>
      <w:r>
        <w:rPr>
          <w:rFonts w:ascii="Times New Roman" w:hAnsi="Times New Roman"/>
          <w:b w:val="0"/>
          <w:i w:val="0"/>
          <w:caps w:val="0"/>
          <w:sz w:val="20"/>
        </w:rPr>
        <w:t>We implement a custom Python discrete-event simulator with the following configuration: M=50 IoMT devices generating 500 tasks per seed via a Poisson arrival process; N=5 heterogeneous edge nodes with CPU frequencies f ∈ {1.5, 1.8, 2.0, 2.2, 2.5} GHz; variable bandwidth B; and one trusted cloud server (L_cloud=100 ms). Task sizes follow a uniform distribution d_i ∼ U(50, 500) KB; CPU cycles c_i ∼ U(10⁸, 10⁹); deadlines τ_i ∼ U(50, 500) ms. All experiments use 10 independent random seeds (10 seeds) and report mean ± standard deviation.</w:t>
      </w:r>
    </w:p>
    <w:p>
      <w:pPr>
        <w:spacing w:before="0" w:after="80"/>
        <w:ind w:firstLine="288"/>
        <w:jc w:val="both"/>
      </w:pPr>
      <w:r>
        <w:rPr>
          <w:rFonts w:ascii="Times New Roman" w:hAnsi="Times New Roman"/>
          <w:b w:val="0"/>
          <w:i w:val="0"/>
          <w:caps w:val="0"/>
          <w:sz w:val="20"/>
        </w:rPr>
        <w:t>Three baselines are evaluated:</w:t>
      </w:r>
    </w:p>
    <w:p>
      <w:pPr>
        <w:spacing w:before="0" w:after="40"/>
        <w:ind w:firstLine="360"/>
        <w:jc w:val="both"/>
      </w:pPr>
      <w:r>
        <w:rPr>
          <w:rFonts w:ascii="Times New Roman" w:hAnsi="Times New Roman"/>
          <w:b w:val="0"/>
          <w:i w:val="0"/>
          <w:caps w:val="0"/>
          <w:sz w:val="20"/>
        </w:rPr>
        <w:t>B1 – Performance-Only: Selects the edge node with minimum estimated latency. No trust awareness; escalates only when all nodes are queue-full.</w:t>
      </w:r>
    </w:p>
    <w:p>
      <w:pPr>
        <w:spacing w:before="0" w:after="40"/>
        <w:ind w:firstLine="360"/>
        <w:jc w:val="both"/>
      </w:pPr>
      <w:r>
        <w:rPr>
          <w:rFonts w:ascii="Times New Roman" w:hAnsi="Times New Roman"/>
          <w:b w:val="0"/>
          <w:i w:val="0"/>
          <w:caps w:val="0"/>
          <w:sz w:val="20"/>
        </w:rPr>
        <w:t>B2 – Static Reputation: Uses pre-computed offline reputation scores (calibrated before the attack onset, sampled from U(0.72, 0.96)). Scores cannot adapt after t=20 s attack onset. Uses the same normalised scoring function as TAHTO but with fixed reputation instead of live trust scores.</w:t>
      </w:r>
    </w:p>
    <w:p>
      <w:pPr>
        <w:spacing w:before="0" w:after="40"/>
        <w:ind w:firstLine="360"/>
        <w:jc w:val="both"/>
      </w:pPr>
      <w:r>
        <w:rPr>
          <w:rFonts w:ascii="Times New Roman" w:hAnsi="Times New Roman"/>
          <w:b w:val="0"/>
          <w:i w:val="0"/>
          <w:caps w:val="0"/>
          <w:sz w:val="20"/>
        </w:rPr>
        <w:t>B3 – Cloud-Only: Routes all tasks unconditionally to the cloud (L=100 ms). Zero security risk; maximum latency overhead.</w:t>
      </w:r>
    </w:p>
    <w:p>
      <w:pPr>
        <w:spacing w:before="160" w:after="60"/>
        <w:jc w:val="center"/>
      </w:pPr>
      <w:r>
        <w:rPr>
          <w:rFonts w:ascii="Times New Roman" w:hAnsi="Times New Roman"/>
          <w:b/>
          <w:i w:val="0"/>
          <w:caps w:val="0"/>
          <w:sz w:val="16"/>
        </w:rPr>
        <w:t>TABLE III.  Six Evaluation Scenarios</w:t>
      </w:r>
    </w:p>
    <w:tbl>
      <w:tblPr>
        <w:tblStyle w:val="TableGrid"/>
        <w:tblW w:type="auto" w:w="0"/>
        <w:tblLook w:firstColumn="1" w:firstRow="1" w:lastColumn="0" w:lastRow="0" w:noHBand="0" w:noVBand="1" w:val="04A0"/>
      </w:tblPr>
      <w:tblGrid>
        <w:gridCol w:w="2088"/>
        <w:gridCol w:w="2088"/>
        <w:gridCol w:w="2088"/>
        <w:gridCol w:w="2088"/>
        <w:gridCol w:w="2088"/>
      </w:tblGrid>
      <w:tr>
        <w:tc>
          <w:tcPr>
            <w:tcW w:type="dxa" w:w="2088"/>
          </w:tcPr>
          <w:p>
            <w:pPr>
              <w:jc w:val="center"/>
            </w:pPr>
            <w:r>
              <w:rPr>
                <w:rFonts w:ascii="Times New Roman" w:hAnsi="Times New Roman"/>
                <w:b/>
                <w:sz w:val="16"/>
              </w:rPr>
              <w:t>ID</w:t>
            </w:r>
          </w:p>
        </w:tc>
        <w:tc>
          <w:tcPr>
            <w:tcW w:type="dxa" w:w="2088"/>
          </w:tcPr>
          <w:p>
            <w:pPr>
              <w:jc w:val="center"/>
            </w:pPr>
            <w:r>
              <w:rPr>
                <w:rFonts w:ascii="Times New Roman" w:hAnsi="Times New Roman"/>
                <w:b/>
                <w:sz w:val="16"/>
              </w:rPr>
              <w:t>Description</w:t>
            </w:r>
          </w:p>
        </w:tc>
        <w:tc>
          <w:tcPr>
            <w:tcW w:type="dxa" w:w="2088"/>
          </w:tcPr>
          <w:p>
            <w:pPr>
              <w:jc w:val="center"/>
            </w:pPr>
            <w:r>
              <w:rPr>
                <w:rFonts w:ascii="Times New Roman" w:hAnsi="Times New Roman"/>
                <w:b/>
                <w:sz w:val="16"/>
              </w:rPr>
              <w:t>Active Nodes</w:t>
            </w:r>
          </w:p>
        </w:tc>
        <w:tc>
          <w:tcPr>
            <w:tcW w:type="dxa" w:w="2088"/>
          </w:tcPr>
          <w:p>
            <w:pPr>
              <w:jc w:val="center"/>
            </w:pPr>
            <w:r>
              <w:rPr>
                <w:rFonts w:ascii="Times New Roman" w:hAnsi="Times New Roman"/>
                <w:b/>
                <w:sz w:val="16"/>
              </w:rPr>
              <w:t>Bandwidth</w:t>
            </w:r>
          </w:p>
        </w:tc>
        <w:tc>
          <w:tcPr>
            <w:tcW w:type="dxa" w:w="2088"/>
          </w:tcPr>
          <w:p>
            <w:pPr>
              <w:jc w:val="center"/>
            </w:pPr>
            <w:r>
              <w:rPr>
                <w:rFonts w:ascii="Times New Roman" w:hAnsi="Times New Roman"/>
                <w:b/>
                <w:sz w:val="16"/>
              </w:rPr>
              <w:t>Primary Challenge</w:t>
            </w:r>
          </w:p>
        </w:tc>
      </w:tr>
      <w:tr>
        <w:tc>
          <w:tcPr>
            <w:tcW w:type="dxa" w:w="2088"/>
          </w:tcPr>
          <w:p>
            <w:pPr>
              <w:jc w:val="left"/>
            </w:pPr>
            <w:r>
              <w:rPr>
                <w:rFonts w:ascii="Times New Roman" w:hAnsi="Times New Roman"/>
                <w:sz w:val="16"/>
              </w:rPr>
              <w:t>S1</w:t>
            </w:r>
          </w:p>
        </w:tc>
        <w:tc>
          <w:tcPr>
            <w:tcW w:type="dxa" w:w="2088"/>
          </w:tcPr>
          <w:p>
            <w:pPr>
              <w:jc w:val="left"/>
            </w:pPr>
            <w:r>
              <w:rPr>
                <w:rFonts w:ascii="Times New Roman" w:hAnsi="Times New Roman"/>
                <w:sz w:val="16"/>
              </w:rPr>
              <w:t>Baseline — all nodes healthy</w:t>
            </w:r>
          </w:p>
        </w:tc>
        <w:tc>
          <w:tcPr>
            <w:tcW w:type="dxa" w:w="2088"/>
          </w:tcPr>
          <w:p>
            <w:pPr>
              <w:jc w:val="left"/>
            </w:pPr>
            <w:r>
              <w:rPr>
                <w:rFonts w:ascii="Times New Roman" w:hAnsi="Times New Roman"/>
                <w:sz w:val="16"/>
              </w:rPr>
              <w:t>5 (0 malicious)</w:t>
            </w:r>
          </w:p>
        </w:tc>
        <w:tc>
          <w:tcPr>
            <w:tcW w:type="dxa" w:w="2088"/>
          </w:tcPr>
          <w:p>
            <w:pPr>
              <w:jc w:val="left"/>
            </w:pPr>
            <w:r>
              <w:rPr>
                <w:rFonts w:ascii="Times New Roman" w:hAnsi="Times New Roman"/>
                <w:sz w:val="16"/>
              </w:rPr>
              <w:t>100 Mbps</w:t>
            </w:r>
          </w:p>
        </w:tc>
        <w:tc>
          <w:tcPr>
            <w:tcW w:type="dxa" w:w="2088"/>
          </w:tcPr>
          <w:p>
            <w:pPr>
              <w:jc w:val="left"/>
            </w:pPr>
            <w:r>
              <w:rPr>
                <w:rFonts w:ascii="Times New Roman" w:hAnsi="Times New Roman"/>
                <w:sz w:val="16"/>
              </w:rPr>
              <w:t>Normal operation</w:t>
            </w:r>
          </w:p>
        </w:tc>
      </w:tr>
      <w:tr>
        <w:tc>
          <w:tcPr>
            <w:tcW w:type="dxa" w:w="2088"/>
          </w:tcPr>
          <w:p>
            <w:pPr>
              <w:jc w:val="left"/>
            </w:pPr>
            <w:r>
              <w:rPr>
                <w:rFonts w:ascii="Times New Roman" w:hAnsi="Times New Roman"/>
                <w:sz w:val="16"/>
              </w:rPr>
              <w:t>S2</w:t>
            </w:r>
          </w:p>
        </w:tc>
        <w:tc>
          <w:tcPr>
            <w:tcW w:type="dxa" w:w="2088"/>
          </w:tcPr>
          <w:p>
            <w:pPr>
              <w:jc w:val="left"/>
            </w:pPr>
            <w:r>
              <w:rPr>
                <w:rFonts w:ascii="Times New Roman" w:hAnsi="Times New Roman"/>
                <w:sz w:val="16"/>
              </w:rPr>
              <w:t>Bandwidth reduction</w:t>
            </w:r>
          </w:p>
        </w:tc>
        <w:tc>
          <w:tcPr>
            <w:tcW w:type="dxa" w:w="2088"/>
          </w:tcPr>
          <w:p>
            <w:pPr>
              <w:jc w:val="left"/>
            </w:pPr>
            <w:r>
              <w:rPr>
                <w:rFonts w:ascii="Times New Roman" w:hAnsi="Times New Roman"/>
                <w:sz w:val="16"/>
              </w:rPr>
              <w:t>5 (0 malicious)</w:t>
            </w:r>
          </w:p>
        </w:tc>
        <w:tc>
          <w:tcPr>
            <w:tcW w:type="dxa" w:w="2088"/>
          </w:tcPr>
          <w:p>
            <w:pPr>
              <w:jc w:val="left"/>
            </w:pPr>
            <w:r>
              <w:rPr>
                <w:rFonts w:ascii="Times New Roman" w:hAnsi="Times New Roman"/>
                <w:sz w:val="16"/>
              </w:rPr>
              <w:t>20 Mbps</w:t>
            </w:r>
          </w:p>
        </w:tc>
        <w:tc>
          <w:tcPr>
            <w:tcW w:type="dxa" w:w="2088"/>
          </w:tcPr>
          <w:p>
            <w:pPr>
              <w:jc w:val="left"/>
            </w:pPr>
            <w:r>
              <w:rPr>
                <w:rFonts w:ascii="Times New Roman" w:hAnsi="Times New Roman"/>
                <w:sz w:val="16"/>
              </w:rPr>
              <w:t>Transmission bottleneck</w:t>
            </w:r>
          </w:p>
        </w:tc>
      </w:tr>
      <w:tr>
        <w:tc>
          <w:tcPr>
            <w:tcW w:type="dxa" w:w="2088"/>
          </w:tcPr>
          <w:p>
            <w:pPr>
              <w:jc w:val="left"/>
            </w:pPr>
            <w:r>
              <w:rPr>
                <w:rFonts w:ascii="Times New Roman" w:hAnsi="Times New Roman"/>
                <w:sz w:val="16"/>
              </w:rPr>
              <w:t>S3</w:t>
            </w:r>
          </w:p>
        </w:tc>
        <w:tc>
          <w:tcPr>
            <w:tcW w:type="dxa" w:w="2088"/>
          </w:tcPr>
          <w:p>
            <w:pPr>
              <w:jc w:val="left"/>
            </w:pPr>
            <w:r>
              <w:rPr>
                <w:rFonts w:ascii="Times New Roman" w:hAnsi="Times New Roman"/>
                <w:sz w:val="16"/>
              </w:rPr>
              <w:t>Severe bandwidth constraint</w:t>
            </w:r>
          </w:p>
        </w:tc>
        <w:tc>
          <w:tcPr>
            <w:tcW w:type="dxa" w:w="2088"/>
          </w:tcPr>
          <w:p>
            <w:pPr>
              <w:jc w:val="left"/>
            </w:pPr>
            <w:r>
              <w:rPr>
                <w:rFonts w:ascii="Times New Roman" w:hAnsi="Times New Roman"/>
                <w:sz w:val="16"/>
              </w:rPr>
              <w:t>5 (0 malicious)</w:t>
            </w:r>
          </w:p>
        </w:tc>
        <w:tc>
          <w:tcPr>
            <w:tcW w:type="dxa" w:w="2088"/>
          </w:tcPr>
          <w:p>
            <w:pPr>
              <w:jc w:val="left"/>
            </w:pPr>
            <w:r>
              <w:rPr>
                <w:rFonts w:ascii="Times New Roman" w:hAnsi="Times New Roman"/>
                <w:sz w:val="16"/>
              </w:rPr>
              <w:t>1 Mbps</w:t>
            </w:r>
          </w:p>
        </w:tc>
        <w:tc>
          <w:tcPr>
            <w:tcW w:type="dxa" w:w="2088"/>
          </w:tcPr>
          <w:p>
            <w:pPr>
              <w:jc w:val="left"/>
            </w:pPr>
            <w:r>
              <w:rPr>
                <w:rFonts w:ascii="Times New Roman" w:hAnsi="Times New Roman"/>
                <w:sz w:val="16"/>
              </w:rPr>
              <w:t>Queue saturation at edge</w:t>
            </w:r>
          </w:p>
        </w:tc>
      </w:tr>
      <w:tr>
        <w:tc>
          <w:tcPr>
            <w:tcW w:type="dxa" w:w="2088"/>
          </w:tcPr>
          <w:p>
            <w:pPr>
              <w:jc w:val="left"/>
            </w:pPr>
            <w:r>
              <w:rPr>
                <w:rFonts w:ascii="Times New Roman" w:hAnsi="Times New Roman"/>
                <w:sz w:val="16"/>
              </w:rPr>
              <w:t>S4</w:t>
            </w:r>
          </w:p>
        </w:tc>
        <w:tc>
          <w:tcPr>
            <w:tcW w:type="dxa" w:w="2088"/>
          </w:tcPr>
          <w:p>
            <w:pPr>
              <w:jc w:val="left"/>
            </w:pPr>
            <w:r>
              <w:rPr>
                <w:rFonts w:ascii="Times New Roman" w:hAnsi="Times New Roman"/>
                <w:sz w:val="16"/>
              </w:rPr>
              <w:t>Two node failures</w:t>
            </w:r>
          </w:p>
        </w:tc>
        <w:tc>
          <w:tcPr>
            <w:tcW w:type="dxa" w:w="2088"/>
          </w:tcPr>
          <w:p>
            <w:pPr>
              <w:jc w:val="left"/>
            </w:pPr>
            <w:r>
              <w:rPr>
                <w:rFonts w:ascii="Times New Roman" w:hAnsi="Times New Roman"/>
                <w:sz w:val="16"/>
              </w:rPr>
              <w:t>3 (0 malicious)</w:t>
            </w:r>
          </w:p>
        </w:tc>
        <w:tc>
          <w:tcPr>
            <w:tcW w:type="dxa" w:w="2088"/>
          </w:tcPr>
          <w:p>
            <w:pPr>
              <w:jc w:val="left"/>
            </w:pPr>
            <w:r>
              <w:rPr>
                <w:rFonts w:ascii="Times New Roman" w:hAnsi="Times New Roman"/>
                <w:sz w:val="16"/>
              </w:rPr>
              <w:t>100 Mbps</w:t>
            </w:r>
          </w:p>
        </w:tc>
        <w:tc>
          <w:tcPr>
            <w:tcW w:type="dxa" w:w="2088"/>
          </w:tcPr>
          <w:p>
            <w:pPr>
              <w:jc w:val="left"/>
            </w:pPr>
            <w:r>
              <w:rPr>
                <w:rFonts w:ascii="Times New Roman" w:hAnsi="Times New Roman"/>
                <w:sz w:val="16"/>
              </w:rPr>
              <w:t>Resilience to node loss</w:t>
            </w:r>
          </w:p>
        </w:tc>
      </w:tr>
      <w:tr>
        <w:tc>
          <w:tcPr>
            <w:tcW w:type="dxa" w:w="2088"/>
          </w:tcPr>
          <w:p>
            <w:pPr>
              <w:jc w:val="left"/>
            </w:pPr>
            <w:r>
              <w:rPr>
                <w:rFonts w:ascii="Times New Roman" w:hAnsi="Times New Roman"/>
                <w:sz w:val="16"/>
              </w:rPr>
              <w:t>S5</w:t>
            </w:r>
          </w:p>
        </w:tc>
        <w:tc>
          <w:tcPr>
            <w:tcW w:type="dxa" w:w="2088"/>
          </w:tcPr>
          <w:p>
            <w:pPr>
              <w:jc w:val="left"/>
            </w:pPr>
            <w:r>
              <w:rPr>
                <w:rFonts w:ascii="Times New Roman" w:hAnsi="Times New Roman"/>
                <w:sz w:val="16"/>
              </w:rPr>
              <w:t>Two Byzantine nodes (onset at t=20 s)</w:t>
            </w:r>
          </w:p>
        </w:tc>
        <w:tc>
          <w:tcPr>
            <w:tcW w:type="dxa" w:w="2088"/>
          </w:tcPr>
          <w:p>
            <w:pPr>
              <w:jc w:val="left"/>
            </w:pPr>
            <w:r>
              <w:rPr>
                <w:rFonts w:ascii="Times New Roman" w:hAnsi="Times New Roman"/>
                <w:sz w:val="16"/>
              </w:rPr>
              <w:t>5 (2 malicious)</w:t>
            </w:r>
          </w:p>
        </w:tc>
        <w:tc>
          <w:tcPr>
            <w:tcW w:type="dxa" w:w="2088"/>
          </w:tcPr>
          <w:p>
            <w:pPr>
              <w:jc w:val="left"/>
            </w:pPr>
            <w:r>
              <w:rPr>
                <w:rFonts w:ascii="Times New Roman" w:hAnsi="Times New Roman"/>
                <w:sz w:val="16"/>
              </w:rPr>
              <w:t>100 Mbps</w:t>
            </w:r>
          </w:p>
        </w:tc>
        <w:tc>
          <w:tcPr>
            <w:tcW w:type="dxa" w:w="2088"/>
          </w:tcPr>
          <w:p>
            <w:pPr>
              <w:jc w:val="left"/>
            </w:pPr>
            <w:r>
              <w:rPr>
                <w:rFonts w:ascii="Times New Roman" w:hAnsi="Times New Roman"/>
                <w:sz w:val="16"/>
              </w:rPr>
              <w:t>Adaptive security</w:t>
            </w:r>
          </w:p>
        </w:tc>
      </w:tr>
      <w:tr>
        <w:tc>
          <w:tcPr>
            <w:tcW w:type="dxa" w:w="2088"/>
          </w:tcPr>
          <w:p>
            <w:pPr>
              <w:jc w:val="left"/>
            </w:pPr>
            <w:r>
              <w:rPr>
                <w:rFonts w:ascii="Times New Roman" w:hAnsi="Times New Roman"/>
                <w:sz w:val="16"/>
              </w:rPr>
              <w:t>S6</w:t>
            </w:r>
          </w:p>
        </w:tc>
        <w:tc>
          <w:tcPr>
            <w:tcW w:type="dxa" w:w="2088"/>
          </w:tcPr>
          <w:p>
            <w:pPr>
              <w:jc w:val="left"/>
            </w:pPr>
            <w:r>
              <w:rPr>
                <w:rFonts w:ascii="Times New Roman" w:hAnsi="Times New Roman"/>
                <w:sz w:val="16"/>
              </w:rPr>
              <w:t>Failures + Byzantine + low bandwidth</w:t>
            </w:r>
          </w:p>
        </w:tc>
        <w:tc>
          <w:tcPr>
            <w:tcW w:type="dxa" w:w="2088"/>
          </w:tcPr>
          <w:p>
            <w:pPr>
              <w:jc w:val="left"/>
            </w:pPr>
            <w:r>
              <w:rPr>
                <w:rFonts w:ascii="Times New Roman" w:hAnsi="Times New Roman"/>
                <w:sz w:val="16"/>
              </w:rPr>
              <w:t>3 (2 malicious)</w:t>
            </w:r>
          </w:p>
        </w:tc>
        <w:tc>
          <w:tcPr>
            <w:tcW w:type="dxa" w:w="2088"/>
          </w:tcPr>
          <w:p>
            <w:pPr>
              <w:jc w:val="left"/>
            </w:pPr>
            <w:r>
              <w:rPr>
                <w:rFonts w:ascii="Times New Roman" w:hAnsi="Times New Roman"/>
                <w:sz w:val="16"/>
              </w:rPr>
              <w:t>5 Mbps</w:t>
            </w:r>
          </w:p>
        </w:tc>
        <w:tc>
          <w:tcPr>
            <w:tcW w:type="dxa" w:w="2088"/>
          </w:tcPr>
          <w:p>
            <w:pPr>
              <w:jc w:val="left"/>
            </w:pPr>
            <w:r>
              <w:rPr>
                <w:rFonts w:ascii="Times New Roman" w:hAnsi="Times New Roman"/>
                <w:sz w:val="16"/>
              </w:rPr>
              <w:t>Combined worst case</w:t>
            </w:r>
          </w:p>
        </w:tc>
      </w:tr>
    </w:tbl>
    <w:p>
      <w:pPr>
        <w:spacing w:before="0" w:after="120"/>
        <w:jc w:val="both"/>
      </w:pPr>
    </w:p>
    <w:p>
      <w:pPr>
        <w:spacing w:before="140" w:after="60"/>
        <w:jc w:val="left"/>
      </w:pPr>
      <w:r>
        <w:rPr>
          <w:rFonts w:ascii="Times New Roman" w:hAnsi="Times New Roman"/>
          <w:b/>
          <w:i/>
          <w:caps w:val="0"/>
          <w:sz w:val="20"/>
        </w:rPr>
        <w:t>B.  Online Trust Model Performance</w:t>
      </w:r>
    </w:p>
    <w:p>
      <w:pPr>
        <w:spacing w:before="0" w:after="80"/>
        <w:ind w:firstLine="288"/>
        <w:jc w:val="both"/>
      </w:pPr>
      <w:r>
        <w:rPr>
          <w:rFonts w:ascii="Times New Roman" w:hAnsi="Times New Roman"/>
          <w:b w:val="0"/>
          <w:i w:val="0"/>
          <w:caps w:val="0"/>
          <w:sz w:val="20"/>
        </w:rPr>
        <w:t>Fig. 3 plots the trust-model F1 score evaluated on each unseen monitoring window across all scenarios. In S1–S4 (no post-onset Byzantine nodes), TAHTO maintains F1 = 0.998–0.996, reflecting near-perfect classification of the stable telemetry distributions. In S5, F1 is 0.993 ± 0.010: the model's F1 dips in the first window after the t=20 s attack onset (when attacker telemetry first appears in evaluation data but the model has not yet retrained on it), then recovers as the online retraining protocol accumulates post-onset labelled examples. In S6, F1 drops to 0.895 ± 0.072 due to the compounded difficulty: two Byzantine nodes at only 5 Mbps produce overlapping feature distributions with the single stressed-but-legitimate node. This honest degradation reflects realistic classification difficulty rather than a training-data artefact, and is significantly better than the zero security awareness of B1 and B2.</w:t>
      </w:r>
    </w:p>
    <w:p>
      <w:pPr>
        <w:sectPr>
          <w:type w:val="continuous"/>
          <w:pgSz w:w="12240" w:h="15840"/>
          <w:pgMar w:top="1080" w:right="900" w:bottom="1440" w:left="900" w:header="720" w:footer="720" w:gutter="0"/>
          <w:docGrid w:linePitch="360"/>
          <w:cols w:num="2" w:space="720"/>
        </w:sectPr>
      </w:pPr>
    </w:p>
    <w:p>
      <w:pPr>
        <w:spacing w:before="120" w:after="0"/>
        <w:jc w:val="center"/>
      </w:pPr>
      <w:r>
        <w:drawing>
          <wp:inline xmlns:a="http://schemas.openxmlformats.org/drawingml/2006/main" xmlns:pic="http://schemas.openxmlformats.org/drawingml/2006/picture">
            <wp:extent cx="5943600" cy="2701636"/>
            <wp:docPr id="3" name="Picture 3"/>
            <wp:cNvGraphicFramePr>
              <a:graphicFrameLocks noChangeAspect="1"/>
            </wp:cNvGraphicFramePr>
            <a:graphic>
              <a:graphicData uri="http://schemas.openxmlformats.org/drawingml/2006/picture">
                <pic:pic>
                  <pic:nvPicPr>
                    <pic:cNvPr id="0" name="fig5_ml_f1.png"/>
                    <pic:cNvPicPr/>
                  </pic:nvPicPr>
                  <pic:blipFill>
                    <a:blip r:embed="rId11"/>
                    <a:stretch>
                      <a:fillRect/>
                    </a:stretch>
                  </pic:blipFill>
                  <pic:spPr>
                    <a:xfrm>
                      <a:off x="0" y="0"/>
                      <a:ext cx="5943600" cy="2701636"/>
                    </a:xfrm>
                    <a:prstGeom prst="rect"/>
                  </pic:spPr>
                </pic:pic>
              </a:graphicData>
            </a:graphic>
          </wp:inline>
        </w:drawing>
      </w:r>
    </w:p>
    <w:p>
      <w:pPr>
        <w:spacing w:before="60" w:after="200"/>
        <w:jc w:val="center"/>
      </w:pPr>
      <w:r>
        <w:rPr>
          <w:rFonts w:ascii="Times New Roman" w:hAnsi="Times New Roman"/>
          <w:b w:val="0"/>
          <w:i/>
          <w:caps w:val="0"/>
          <w:sz w:val="18"/>
        </w:rPr>
        <w:t>Fig. 3.  Online trust-model F1 score per unseen monitoring window, mean ± SD (n=10 seeds). Static-reputation (B2) and performance-only (B1) baselines have no trust model; B3 (Cloud-Only) achieves trivially perfect F1 = 1.0 as it never routes to edge nodes. TAHTO degrades gracefully under combined adversarial pressure (S6).</w:t>
      </w:r>
    </w:p>
    <w:p>
      <w:pPr>
        <w:sectPr>
          <w:type w:val="continuous"/>
          <w:pgSz w:w="12240" w:h="15840"/>
          <w:pgMar w:top="1080" w:right="900" w:bottom="1440" w:left="900" w:header="720" w:footer="720" w:gutter="0"/>
          <w:docGrid w:linePitch="360"/>
          <w:cols w:num="1"/>
        </w:sectPr>
      </w:pPr>
    </w:p>
    <w:p>
      <w:pPr>
        <w:spacing w:before="140" w:after="60"/>
        <w:jc w:val="left"/>
      </w:pPr>
      <w:r>
        <w:rPr>
          <w:rFonts w:ascii="Times New Roman" w:hAnsi="Times New Roman"/>
          <w:b/>
          <w:i/>
          <w:caps w:val="0"/>
          <w:sz w:val="20"/>
        </w:rPr>
        <w:t>C.  Latency Analysis</w:t>
      </w:r>
    </w:p>
    <w:p>
      <w:pPr>
        <w:spacing w:before="0" w:after="80"/>
        <w:ind w:firstLine="288"/>
        <w:jc w:val="both"/>
      </w:pPr>
      <w:r>
        <w:rPr>
          <w:rFonts w:ascii="Times New Roman" w:hAnsi="Times New Roman"/>
          <w:b w:val="0"/>
          <w:i w:val="0"/>
          <w:caps w:val="0"/>
          <w:sz w:val="20"/>
        </w:rPr>
        <w:t>Fig. 4 compares average end-to-end latency across all scenarios. In S1 (100 Mbps, all healthy), TAHTO achieves 31.8 ms, identical to B1 (31.8 ms) and B2 (31.8 ms) — the trust gate excludes no nodes when all are healthy, so TAHTO's routing degenerates to performance-optimal. In S2 (20 Mbps) and S4 (2 failed nodes), latency similarly matches B1/B2, confirming TAHTO imposes no latency penalty when trust gates are inactive.</w:t>
      </w:r>
    </w:p>
    <w:p>
      <w:pPr>
        <w:spacing w:before="0" w:after="80"/>
        <w:ind w:firstLine="288"/>
        <w:jc w:val="both"/>
      </w:pPr>
      <w:r>
        <w:rPr>
          <w:rFonts w:ascii="Times New Roman" w:hAnsi="Times New Roman"/>
          <w:b w:val="0"/>
          <w:i w:val="0"/>
          <w:caps w:val="0"/>
          <w:sz w:val="20"/>
        </w:rPr>
        <w:t>In S3 (1 Mbps), all three edge-aware schedulers converge to 571.4 ms — queue saturation at the 1 Mbps bottleneck dominates. TAHTO's cloud escalation (38.4%) provides no latency advantage here because the cloud's 100 ms is comparable to queue wait times at 1 Mbps. However, it prevents queue overflow that would drop tasks.</w:t>
      </w:r>
    </w:p>
    <w:p>
      <w:pPr>
        <w:spacing w:before="0" w:after="80"/>
        <w:ind w:firstLine="288"/>
        <w:jc w:val="both"/>
      </w:pPr>
      <w:r>
        <w:rPr>
          <w:rFonts w:ascii="Times New Roman" w:hAnsi="Times New Roman"/>
          <w:b w:val="0"/>
          <w:i w:val="0"/>
          <w:caps w:val="0"/>
          <w:sz w:val="20"/>
        </w:rPr>
        <w:t>In S6 (combined worst case), TAHTO achieves 158.9 ms — substantially lower than B1 (186.1 ms) and B2 (186.1 ms). The explanation is counter-intuitive: B1 and B2 route to all 5 nodes including the 2 malicious ones. Malicious nodes return results immediately (tasks are ‘completed’ with corrupted output), creating high ‘efficiency’ at the cost of data integrity. Their actual completion (tasks with correct results) collapses to 69.5%. TAHTO routes only to the 1 trusted edge node (5 Mbps) and the cloud, accepting a higher honest latency in exchange for correct results.</w:t>
      </w:r>
    </w:p>
    <w:p>
      <w:pPr>
        <w:sectPr>
          <w:type w:val="continuous"/>
          <w:pgSz w:w="12240" w:h="15840"/>
          <w:pgMar w:top="1080" w:right="900" w:bottom="1440" w:left="900" w:header="720" w:footer="720" w:gutter="0"/>
          <w:docGrid w:linePitch="360"/>
          <w:cols w:num="2" w:space="720"/>
        </w:sectPr>
      </w:pPr>
    </w:p>
    <w:p>
      <w:pPr>
        <w:spacing w:before="120" w:after="0"/>
        <w:jc w:val="center"/>
      </w:pPr>
      <w:r>
        <w:drawing>
          <wp:inline xmlns:a="http://schemas.openxmlformats.org/drawingml/2006/main" xmlns:pic="http://schemas.openxmlformats.org/drawingml/2006/picture">
            <wp:extent cx="5943600" cy="2701636"/>
            <wp:docPr id="4" name="Picture 4"/>
            <wp:cNvGraphicFramePr>
              <a:graphicFrameLocks noChangeAspect="1"/>
            </wp:cNvGraphicFramePr>
            <a:graphic>
              <a:graphicData uri="http://schemas.openxmlformats.org/drawingml/2006/picture">
                <pic:pic>
                  <pic:nvPicPr>
                    <pic:cNvPr id="0" name="fig1_latency.png"/>
                    <pic:cNvPicPr/>
                  </pic:nvPicPr>
                  <pic:blipFill>
                    <a:blip r:embed="rId12"/>
                    <a:stretch>
                      <a:fillRect/>
                    </a:stretch>
                  </pic:blipFill>
                  <pic:spPr>
                    <a:xfrm>
                      <a:off x="0" y="0"/>
                      <a:ext cx="5943600" cy="2701636"/>
                    </a:xfrm>
                    <a:prstGeom prst="rect"/>
                  </pic:spPr>
                </pic:pic>
              </a:graphicData>
            </a:graphic>
          </wp:inline>
        </w:drawing>
      </w:r>
    </w:p>
    <w:p>
      <w:pPr>
        <w:spacing w:before="60" w:after="200"/>
        <w:jc w:val="center"/>
      </w:pPr>
      <w:r>
        <w:rPr>
          <w:rFonts w:ascii="Times New Roman" w:hAnsi="Times New Roman"/>
          <w:b w:val="0"/>
          <w:i/>
          <w:caps w:val="0"/>
          <w:sz w:val="18"/>
        </w:rPr>
        <w:t>Fig. 4.  Average end-to-end latency (ms), mean ± SD (n=10 seeds). TAHTO and B1/B2 are equivalent in S1–S4; TAHTO achieves lower latency than B1/B2 in S6 because B1/B2 waste cycles on corrupted-output malicious nodes. B3 is constant at 100 ms (cloud latency).</w:t>
      </w:r>
    </w:p>
    <w:p>
      <w:pPr>
        <w:sectPr>
          <w:type w:val="continuous"/>
          <w:pgSz w:w="12240" w:h="15840"/>
          <w:pgMar w:top="1080" w:right="900" w:bottom="1440" w:left="900" w:header="720" w:footer="720" w:gutter="0"/>
          <w:docGrid w:linePitch="360"/>
          <w:cols w:num="1"/>
        </w:sectPr>
      </w:pPr>
    </w:p>
    <w:p>
      <w:pPr>
        <w:spacing w:before="140" w:after="60"/>
        <w:jc w:val="left"/>
      </w:pPr>
      <w:r>
        <w:rPr>
          <w:rFonts w:ascii="Times New Roman" w:hAnsi="Times New Roman"/>
          <w:b/>
          <w:i/>
          <w:caps w:val="0"/>
          <w:sz w:val="20"/>
        </w:rPr>
        <w:t>D.  Task Completion Rate</w:t>
      </w:r>
    </w:p>
    <w:p>
      <w:pPr>
        <w:spacing w:before="0" w:after="80"/>
        <w:ind w:firstLine="288"/>
        <w:jc w:val="both"/>
      </w:pPr>
      <w:r>
        <w:rPr>
          <w:rFonts w:ascii="Times New Roman" w:hAnsi="Times New Roman"/>
          <w:b w:val="0"/>
          <w:i w:val="0"/>
          <w:caps w:val="0"/>
          <w:sz w:val="20"/>
        </w:rPr>
        <w:t>Fig. 5 shows task completion rates. TAHTO achieves 100% completion in S1–S4 (all healthy scenarios), matching B1, B2, and B3. In S5, TAHTO achieves 99.8 ± 0.4% completion, marginally below B3 (100%) due to the 0.22% miss window at attack onset. In S6, the contrast is stark: TAHTO achieves 98.1 ± 1.4% completion while B1 and B2 collapse to 69.5 ± 2.7%. A task is counted as ‘completed’ only if it was routed to a non-malicious node or the cloud. B1 and B2 route approximately 40% of tasks to the two malicious nodes in S6 (2 malicious out of 5 total nodes), producing incorrect outputs that are not counted as completions. TAHTO's trust gate prevents this, achieving near-perfect completion through cloud escalation.</w:t>
      </w:r>
    </w:p>
    <w:p>
      <w:pPr>
        <w:sectPr>
          <w:type w:val="continuous"/>
          <w:pgSz w:w="12240" w:h="15840"/>
          <w:pgMar w:top="1080" w:right="900" w:bottom="1440" w:left="900" w:header="720" w:footer="720" w:gutter="0"/>
          <w:docGrid w:linePitch="360"/>
          <w:cols w:num="2" w:space="720"/>
        </w:sectPr>
      </w:pPr>
    </w:p>
    <w:p>
      <w:pPr>
        <w:spacing w:before="120" w:after="0"/>
        <w:jc w:val="center"/>
      </w:pPr>
      <w:r>
        <w:drawing>
          <wp:inline xmlns:a="http://schemas.openxmlformats.org/drawingml/2006/main" xmlns:pic="http://schemas.openxmlformats.org/drawingml/2006/picture">
            <wp:extent cx="5943600" cy="2701636"/>
            <wp:docPr id="5" name="Picture 5"/>
            <wp:cNvGraphicFramePr>
              <a:graphicFrameLocks noChangeAspect="1"/>
            </wp:cNvGraphicFramePr>
            <a:graphic>
              <a:graphicData uri="http://schemas.openxmlformats.org/drawingml/2006/picture">
                <pic:pic>
                  <pic:nvPicPr>
                    <pic:cNvPr id="0" name="fig2_completion.png"/>
                    <pic:cNvPicPr/>
                  </pic:nvPicPr>
                  <pic:blipFill>
                    <a:blip r:embed="rId13"/>
                    <a:stretch>
                      <a:fillRect/>
                    </a:stretch>
                  </pic:blipFill>
                  <pic:spPr>
                    <a:xfrm>
                      <a:off x="0" y="0"/>
                      <a:ext cx="5943600" cy="2701636"/>
                    </a:xfrm>
                    <a:prstGeom prst="rect"/>
                  </pic:spPr>
                </pic:pic>
              </a:graphicData>
            </a:graphic>
          </wp:inline>
        </w:drawing>
      </w:r>
    </w:p>
    <w:p>
      <w:pPr>
        <w:spacing w:before="60" w:after="200"/>
        <w:jc w:val="center"/>
      </w:pPr>
      <w:r>
        <w:rPr>
          <w:rFonts w:ascii="Times New Roman" w:hAnsi="Times New Roman"/>
          <w:b w:val="0"/>
          <w:i/>
          <w:caps w:val="0"/>
          <w:sz w:val="18"/>
        </w:rPr>
        <w:t>Fig. 5.  Task completion rate (%), mean ± SD (n=10 seeds). TAHTO maintains near-100% completion across all scenarios; B1 and B2 collapse to 69.5% in S6 where 40% of active nodes are compromised.</w:t>
      </w:r>
    </w:p>
    <w:p>
      <w:pPr>
        <w:sectPr>
          <w:type w:val="continuous"/>
          <w:pgSz w:w="12240" w:h="15840"/>
          <w:pgMar w:top="1080" w:right="900" w:bottom="1440" w:left="900" w:header="720" w:footer="720" w:gutter="0"/>
          <w:docGrid w:linePitch="360"/>
          <w:cols w:num="1"/>
        </w:sectPr>
      </w:pPr>
    </w:p>
    <w:p>
      <w:pPr>
        <w:spacing w:before="140" w:after="60"/>
        <w:jc w:val="left"/>
      </w:pPr>
      <w:r>
        <w:rPr>
          <w:rFonts w:ascii="Times New Roman" w:hAnsi="Times New Roman"/>
          <w:b/>
          <w:i/>
          <w:caps w:val="0"/>
          <w:sz w:val="20"/>
        </w:rPr>
        <w:t>E.  Malicious-Node Avoidance</w:t>
      </w:r>
    </w:p>
    <w:p>
      <w:pPr>
        <w:spacing w:before="0" w:after="80"/>
        <w:ind w:firstLine="288"/>
        <w:jc w:val="both"/>
      </w:pPr>
      <w:r>
        <w:rPr>
          <w:rFonts w:ascii="Times New Roman" w:hAnsi="Times New Roman"/>
          <w:b w:val="0"/>
          <w:i w:val="0"/>
          <w:caps w:val="0"/>
          <w:sz w:val="20"/>
        </w:rPr>
        <w:t>Fig. 6 plots the core security metric: the fraction of tasks that were not routed to a malicious node. In S1–S4 (no malicious nodes), all schedulers achieve 100% by definition. In S5, TAHTO achieves 99.8 ± 0.4% versus B1's 99.0 ± 0.3% and B2's 96.6 ± 3.7%. TAHTO's 0.22% miss arises in the single window immediately after attack onset, before the online model has retrained on post-onset data. B2's 4.42% miss rate shows that static reputation scores, calibrated before the attack, cannot detect the post-onset behaviour change.</w:t>
      </w:r>
    </w:p>
    <w:p>
      <w:pPr>
        <w:spacing w:before="0" w:after="80"/>
        <w:ind w:firstLine="288"/>
        <w:jc w:val="both"/>
      </w:pPr>
      <w:r>
        <w:rPr>
          <w:rFonts w:ascii="Times New Roman" w:hAnsi="Times New Roman"/>
          <w:b w:val="0"/>
          <w:i w:val="0"/>
          <w:caps w:val="0"/>
          <w:sz w:val="20"/>
        </w:rPr>
        <w:t>In S6, TAHTO achieves 98.1 ± 1.4% avoidance versus B1 (69.5 ± 2.7%) and B2 (69.5 ± 2.7%). B1 and B2 route to the 2 malicious nodes at exactly the same rate as to legitimate nodes (blind to trust), producing ~40% routing to attackers in a 5-node environment with 2 compromised. TAHTO's 1.92% residual miss is concentrated in the onset window; B3 achieves 100% by never using edge nodes at all, but at the cost of cloud-only latency.</w:t>
      </w:r>
    </w:p>
    <w:p>
      <w:pPr>
        <w:sectPr>
          <w:type w:val="continuous"/>
          <w:pgSz w:w="12240" w:h="15840"/>
          <w:pgMar w:top="1080" w:right="900" w:bottom="1440" w:left="900" w:header="720" w:footer="720" w:gutter="0"/>
          <w:docGrid w:linePitch="360"/>
          <w:cols w:num="2" w:space="720"/>
        </w:sectPr>
      </w:pPr>
    </w:p>
    <w:p>
      <w:pPr>
        <w:spacing w:before="120" w:after="0"/>
        <w:jc w:val="center"/>
      </w:pPr>
      <w:r>
        <w:drawing>
          <wp:inline xmlns:a="http://schemas.openxmlformats.org/drawingml/2006/main" xmlns:pic="http://schemas.openxmlformats.org/drawingml/2006/picture">
            <wp:extent cx="5943600" cy="2701636"/>
            <wp:docPr id="6" name="Picture 6"/>
            <wp:cNvGraphicFramePr>
              <a:graphicFrameLocks noChangeAspect="1"/>
            </wp:cNvGraphicFramePr>
            <a:graphic>
              <a:graphicData uri="http://schemas.openxmlformats.org/drawingml/2006/picture">
                <pic:pic>
                  <pic:nvPicPr>
                    <pic:cNvPr id="0" name="fig3_security.png"/>
                    <pic:cNvPicPr/>
                  </pic:nvPicPr>
                  <pic:blipFill>
                    <a:blip r:embed="rId14"/>
                    <a:stretch>
                      <a:fillRect/>
                    </a:stretch>
                  </pic:blipFill>
                  <pic:spPr>
                    <a:xfrm>
                      <a:off x="0" y="0"/>
                      <a:ext cx="5943600" cy="2701636"/>
                    </a:xfrm>
                    <a:prstGeom prst="rect"/>
                  </pic:spPr>
                </pic:pic>
              </a:graphicData>
            </a:graphic>
          </wp:inline>
        </w:drawing>
      </w:r>
    </w:p>
    <w:p>
      <w:pPr>
        <w:spacing w:before="60" w:after="200"/>
        <w:jc w:val="center"/>
      </w:pPr>
      <w:r>
        <w:rPr>
          <w:rFonts w:ascii="Times New Roman" w:hAnsi="Times New Roman"/>
          <w:b w:val="0"/>
          <w:i/>
          <w:caps w:val="0"/>
          <w:sz w:val="18"/>
        </w:rPr>
        <w:t>Fig. 6.  Malicious-node avoidance rate (%), mean ± SD (n=10 seeds). TAHTO is the only adaptive scheduler that maintains high avoidance in both S5 (pure attack) and S6 (combined attack). B1 and B2 degrade severely in S6 due to routing blindness to trust.</w:t>
      </w:r>
    </w:p>
    <w:p>
      <w:pPr>
        <w:sectPr>
          <w:type w:val="continuous"/>
          <w:pgSz w:w="12240" w:h="15840"/>
          <w:pgMar w:top="1080" w:right="900" w:bottom="1440" w:left="900" w:header="720" w:footer="720" w:gutter="0"/>
          <w:docGrid w:linePitch="360"/>
          <w:cols w:num="1"/>
        </w:sectPr>
      </w:pPr>
    </w:p>
    <w:p>
      <w:pPr>
        <w:spacing w:before="140" w:after="60"/>
        <w:jc w:val="left"/>
      </w:pPr>
      <w:r>
        <w:rPr>
          <w:rFonts w:ascii="Times New Roman" w:hAnsi="Times New Roman"/>
          <w:b/>
          <w:i/>
          <w:caps w:val="0"/>
          <w:sz w:val="20"/>
        </w:rPr>
        <w:t>F.  Cloud Escalation Behaviour</w:t>
      </w:r>
    </w:p>
    <w:p>
      <w:pPr>
        <w:spacing w:before="0" w:after="80"/>
        <w:ind w:firstLine="288"/>
        <w:jc w:val="both"/>
      </w:pPr>
      <w:r>
        <w:rPr>
          <w:rFonts w:ascii="Times New Roman" w:hAnsi="Times New Roman"/>
          <w:b w:val="0"/>
          <w:i w:val="0"/>
          <w:caps w:val="0"/>
          <w:sz w:val="20"/>
        </w:rPr>
        <w:t>Fig. 7 shows cloud escalation rates. In S1, S2, S4, and S5, TAHTO escalates 0% of tasks to the cloud — there is sufficient trusted edge capacity to absorb the workload locally. In S3 (1 Mbps), TAHTO escalates 38.4 ± 2.6% of tasks via Condition 3 (queue saturation): at 1 Mbps the edge nodes' queues build faster than they drain, so TAHTO correctly identifies saturation and diverts tasks to the cloud. In S6, 35.7 ± 3.3% of tasks are escalated — the sole legitimate node at 5 Mbps cannot absorb the full workload, triggering both Conditions 1 (trust gate failure for malicious nodes) and 3 (queue saturation of the trusted node).</w:t>
      </w:r>
    </w:p>
    <w:p>
      <w:pPr>
        <w:spacing w:before="0" w:after="80"/>
        <w:ind w:firstLine="288"/>
        <w:jc w:val="both"/>
      </w:pPr>
      <w:r>
        <w:rPr>
          <w:rFonts w:ascii="Times New Roman" w:hAnsi="Times New Roman"/>
          <w:b w:val="0"/>
          <w:i w:val="0"/>
          <w:caps w:val="0"/>
          <w:sz w:val="20"/>
        </w:rPr>
        <w:t>TAHTO thus operates as a principled, data-driven continuum between pure-edge (B1/B2: 0–8% escalation) and pure-cloud (B3: 100%), adapting escalation dynamically to the actual security and load conditions of each deployment context without any manually tuned escalation threshold.</w:t>
      </w:r>
    </w:p>
    <w:p>
      <w:pPr>
        <w:sectPr>
          <w:type w:val="continuous"/>
          <w:pgSz w:w="12240" w:h="15840"/>
          <w:pgMar w:top="1080" w:right="900" w:bottom="1440" w:left="900" w:header="720" w:footer="720" w:gutter="0"/>
          <w:docGrid w:linePitch="360"/>
          <w:cols w:num="2" w:space="720"/>
        </w:sectPr>
      </w:pPr>
    </w:p>
    <w:p>
      <w:pPr>
        <w:spacing w:before="120" w:after="0"/>
        <w:jc w:val="center"/>
      </w:pPr>
      <w:r>
        <w:drawing>
          <wp:inline xmlns:a="http://schemas.openxmlformats.org/drawingml/2006/main" xmlns:pic="http://schemas.openxmlformats.org/drawingml/2006/picture">
            <wp:extent cx="5943600" cy="2701636"/>
            <wp:docPr id="7" name="Picture 7"/>
            <wp:cNvGraphicFramePr>
              <a:graphicFrameLocks noChangeAspect="1"/>
            </wp:cNvGraphicFramePr>
            <a:graphic>
              <a:graphicData uri="http://schemas.openxmlformats.org/drawingml/2006/picture">
                <pic:pic>
                  <pic:nvPicPr>
                    <pic:cNvPr id="0" name="fig4_cloud.png"/>
                    <pic:cNvPicPr/>
                  </pic:nvPicPr>
                  <pic:blipFill>
                    <a:blip r:embed="rId15"/>
                    <a:stretch>
                      <a:fillRect/>
                    </a:stretch>
                  </pic:blipFill>
                  <pic:spPr>
                    <a:xfrm>
                      <a:off x="0" y="0"/>
                      <a:ext cx="5943600" cy="2701636"/>
                    </a:xfrm>
                    <a:prstGeom prst="rect"/>
                  </pic:spPr>
                </pic:pic>
              </a:graphicData>
            </a:graphic>
          </wp:inline>
        </w:drawing>
      </w:r>
    </w:p>
    <w:p>
      <w:pPr>
        <w:spacing w:before="60" w:after="200"/>
        <w:jc w:val="center"/>
      </w:pPr>
      <w:r>
        <w:rPr>
          <w:rFonts w:ascii="Times New Roman" w:hAnsi="Times New Roman"/>
          <w:b w:val="0"/>
          <w:i/>
          <w:caps w:val="0"/>
          <w:sz w:val="18"/>
        </w:rPr>
        <w:t>Fig. 7.  Cloud escalation rate (%), mean ± SD (n=10 seeds). TAHTO escalates selectively: 0% in low-stress scenarios, 38% in S3 (bandwidth bottleneck), 36% in S6 (combined adversarial). B3 always escalates 100%; B1/B2 escalate only under queue overflow.</w:t>
      </w:r>
    </w:p>
    <w:p>
      <w:pPr>
        <w:sectPr>
          <w:type w:val="continuous"/>
          <w:pgSz w:w="12240" w:h="15840"/>
          <w:pgMar w:top="1080" w:right="900" w:bottom="1440" w:left="900" w:header="720" w:footer="720" w:gutter="0"/>
          <w:docGrid w:linePitch="360"/>
          <w:cols w:num="1"/>
        </w:sectPr>
      </w:pPr>
    </w:p>
    <w:p>
      <w:pPr>
        <w:spacing w:before="140" w:after="60"/>
        <w:jc w:val="left"/>
      </w:pPr>
      <w:r>
        <w:rPr>
          <w:rFonts w:ascii="Times New Roman" w:hAnsi="Times New Roman"/>
          <w:b/>
          <w:i/>
          <w:caps w:val="0"/>
          <w:sz w:val="20"/>
        </w:rPr>
        <w:t>G.  Scheduling Weight Sensitivity Analysis</w:t>
      </w:r>
    </w:p>
    <w:p>
      <w:pPr>
        <w:spacing w:before="0" w:after="80"/>
        <w:ind w:firstLine="288"/>
        <w:jc w:val="both"/>
      </w:pPr>
      <w:r>
        <w:rPr>
          <w:rFonts w:ascii="Times New Roman" w:hAnsi="Times New Roman"/>
          <w:b w:val="0"/>
          <w:i w:val="0"/>
          <w:caps w:val="0"/>
          <w:sz w:val="20"/>
        </w:rPr>
        <w:t>Fig. 8 presents a sensitivity sweep varying the latency weight α from 0.10 (trust-heavy: δ=0.50) to 0.50 (latency-heavy: δ=0.10), with β=0.20 and γ=0.20 fixed (α+δ=0.60 conserved). Three configurations are tested across 10 seeds in S5 and S6.</w:t>
      </w:r>
    </w:p>
    <w:p>
      <w:pPr>
        <w:spacing w:before="0" w:after="80"/>
        <w:ind w:firstLine="288"/>
        <w:jc w:val="both"/>
      </w:pPr>
      <w:r>
        <w:rPr>
          <w:rFonts w:ascii="Times New Roman" w:hAnsi="Times New Roman"/>
          <w:b w:val="0"/>
          <w:i w:val="0"/>
          <w:caps w:val="0"/>
          <w:sz w:val="20"/>
        </w:rPr>
        <w:t>Key findings: (1) Malicious-node avoidance in S5 is stable near 99.8% across all configurations — the hard trust gate (Eq. 7) provides the primary security guarantee independent of weight choice; the score weighting only determines which trusted node is selected. (2) In S6, avoidance remains ≥97% across all configurations. (3) Latency differences between configurations are within 3 ms in S5 and 5 ms in S6 — negligible in clinical context. The default α=0.30, δ=0.30 represents a balanced, robust configuration that neither over-weights latency (risking lower-trust routing) nor over-weights trust (ignoring latency differentials between equally-trusted nodes).</w:t>
      </w:r>
    </w:p>
    <w:p>
      <w:pPr>
        <w:sectPr>
          <w:type w:val="continuous"/>
          <w:pgSz w:w="12240" w:h="15840"/>
          <w:pgMar w:top="1080" w:right="900" w:bottom="1440" w:left="900" w:header="720" w:footer="720" w:gutter="0"/>
          <w:docGrid w:linePitch="360"/>
          <w:cols w:num="2" w:space="720"/>
        </w:sectPr>
      </w:pPr>
    </w:p>
    <w:p>
      <w:pPr>
        <w:spacing w:before="120" w:after="0"/>
        <w:jc w:val="center"/>
      </w:pPr>
      <w:r>
        <w:drawing>
          <wp:inline xmlns:a="http://schemas.openxmlformats.org/drawingml/2006/main" xmlns:pic="http://schemas.openxmlformats.org/drawingml/2006/picture">
            <wp:extent cx="5486400" cy="2194560"/>
            <wp:docPr id="8" name="Picture 8"/>
            <wp:cNvGraphicFramePr>
              <a:graphicFrameLocks noChangeAspect="1"/>
            </wp:cNvGraphicFramePr>
            <a:graphic>
              <a:graphicData uri="http://schemas.openxmlformats.org/drawingml/2006/picture">
                <pic:pic>
                  <pic:nvPicPr>
                    <pic:cNvPr id="0" name="fig6_sensitivity_analysis.png"/>
                    <pic:cNvPicPr/>
                  </pic:nvPicPr>
                  <pic:blipFill>
                    <a:blip r:embed="rId16"/>
                    <a:stretch>
                      <a:fillRect/>
                    </a:stretch>
                  </pic:blipFill>
                  <pic:spPr>
                    <a:xfrm>
                      <a:off x="0" y="0"/>
                      <a:ext cx="5486400" cy="2194560"/>
                    </a:xfrm>
                    <a:prstGeom prst="rect"/>
                  </pic:spPr>
                </pic:pic>
              </a:graphicData>
            </a:graphic>
          </wp:inline>
        </w:drawing>
      </w:r>
    </w:p>
    <w:p>
      <w:pPr>
        <w:spacing w:before="60" w:after="200"/>
        <w:jc w:val="center"/>
      </w:pPr>
      <w:r>
        <w:rPr>
          <w:rFonts w:ascii="Times New Roman" w:hAnsi="Times New Roman"/>
          <w:b w:val="0"/>
          <w:i/>
          <w:caps w:val="0"/>
          <w:sz w:val="18"/>
        </w:rPr>
        <w:t>Fig. 8.  Scheduling Weight Sensitivity Analysis in S5 and S6 (10 seeds each). Latency (blue) and malicious-node avoidance (green) for Trust-heavy (α=0.10, δ=0.50), Balanced (α=0.30, δ=0.30), and Latency-heavy (α=0.50, δ=0.10) configurations. The trust gate is the dominant security mechanism; weight choice has negligible effect on avoidance.</w:t>
      </w:r>
    </w:p>
    <w:p>
      <w:pPr>
        <w:sectPr>
          <w:type w:val="continuous"/>
          <w:pgSz w:w="12240" w:h="15840"/>
          <w:pgMar w:top="1080" w:right="900" w:bottom="1440" w:left="900" w:header="720" w:footer="720" w:gutter="0"/>
          <w:docGrid w:linePitch="360"/>
          <w:cols w:num="1"/>
        </w:sectPr>
      </w:pPr>
    </w:p>
    <w:p>
      <w:pPr>
        <w:spacing w:before="160" w:after="60"/>
        <w:jc w:val="center"/>
      </w:pPr>
      <w:r>
        <w:rPr>
          <w:rFonts w:ascii="Times New Roman" w:hAnsi="Times New Roman"/>
          <w:b/>
          <w:i w:val="0"/>
          <w:caps w:val="0"/>
          <w:sz w:val="16"/>
        </w:rPr>
        <w:t>TABLE IV.  Summary of Results Across All Scenarios (TAHTO, mean ± SD, n=10 seeds)</w:t>
      </w:r>
    </w:p>
    <w:tbl>
      <w:tblPr>
        <w:tblStyle w:val="TableGrid"/>
        <w:tblW w:type="auto" w:w="0"/>
        <w:tblLook w:firstColumn="1" w:firstRow="1" w:lastColumn="0" w:lastRow="0" w:noHBand="0" w:noVBand="1" w:val="04A0"/>
      </w:tblPr>
      <w:tblGrid>
        <w:gridCol w:w="1740"/>
        <w:gridCol w:w="1740"/>
        <w:gridCol w:w="1740"/>
        <w:gridCol w:w="1740"/>
        <w:gridCol w:w="1740"/>
        <w:gridCol w:w="1740"/>
      </w:tblGrid>
      <w:tr>
        <w:tc>
          <w:tcPr>
            <w:tcW w:type="dxa" w:w="1740"/>
          </w:tcPr>
          <w:p>
            <w:pPr>
              <w:jc w:val="center"/>
            </w:pPr>
            <w:r>
              <w:rPr>
                <w:rFonts w:ascii="Times New Roman" w:hAnsi="Times New Roman"/>
                <w:b/>
                <w:sz w:val="16"/>
              </w:rPr>
              <w:t>Scenario</w:t>
            </w:r>
          </w:p>
        </w:tc>
        <w:tc>
          <w:tcPr>
            <w:tcW w:type="dxa" w:w="1740"/>
          </w:tcPr>
          <w:p>
            <w:pPr>
              <w:jc w:val="center"/>
            </w:pPr>
            <w:r>
              <w:rPr>
                <w:rFonts w:ascii="Times New Roman" w:hAnsi="Times New Roman"/>
                <w:b/>
                <w:sz w:val="16"/>
              </w:rPr>
              <w:t>Latency (ms)</w:t>
            </w:r>
          </w:p>
        </w:tc>
        <w:tc>
          <w:tcPr>
            <w:tcW w:type="dxa" w:w="1740"/>
          </w:tcPr>
          <w:p>
            <w:pPr>
              <w:jc w:val="center"/>
            </w:pPr>
            <w:r>
              <w:rPr>
                <w:rFonts w:ascii="Times New Roman" w:hAnsi="Times New Roman"/>
                <w:b/>
                <w:sz w:val="16"/>
              </w:rPr>
              <w:t>Completion (%)</w:t>
            </w:r>
          </w:p>
        </w:tc>
        <w:tc>
          <w:tcPr>
            <w:tcW w:type="dxa" w:w="1740"/>
          </w:tcPr>
          <w:p>
            <w:pPr>
              <w:jc w:val="center"/>
            </w:pPr>
            <w:r>
              <w:rPr>
                <w:rFonts w:ascii="Times New Roman" w:hAnsi="Times New Roman"/>
                <w:b/>
                <w:sz w:val="16"/>
              </w:rPr>
              <w:t>Avoidance (%)</w:t>
            </w:r>
          </w:p>
        </w:tc>
        <w:tc>
          <w:tcPr>
            <w:tcW w:type="dxa" w:w="1740"/>
          </w:tcPr>
          <w:p>
            <w:pPr>
              <w:jc w:val="center"/>
            </w:pPr>
            <w:r>
              <w:rPr>
                <w:rFonts w:ascii="Times New Roman" w:hAnsi="Times New Roman"/>
                <w:b/>
                <w:sz w:val="16"/>
              </w:rPr>
              <w:t>Cloud Esc. (%)</w:t>
            </w:r>
          </w:p>
        </w:tc>
        <w:tc>
          <w:tcPr>
            <w:tcW w:type="dxa" w:w="1740"/>
          </w:tcPr>
          <w:p>
            <w:pPr>
              <w:jc w:val="center"/>
            </w:pPr>
            <w:r>
              <w:rPr>
                <w:rFonts w:ascii="Times New Roman" w:hAnsi="Times New Roman"/>
                <w:b/>
                <w:sz w:val="16"/>
              </w:rPr>
              <w:t>F1 Score</w:t>
            </w:r>
          </w:p>
        </w:tc>
      </w:tr>
      <w:tr>
        <w:tc>
          <w:tcPr>
            <w:tcW w:type="dxa" w:w="1740"/>
          </w:tcPr>
          <w:p>
            <w:pPr>
              <w:jc w:val="left"/>
            </w:pPr>
            <w:r>
              <w:rPr>
                <w:rFonts w:ascii="Times New Roman" w:hAnsi="Times New Roman"/>
                <w:sz w:val="16"/>
              </w:rPr>
              <w:t>S1</w:t>
            </w:r>
          </w:p>
        </w:tc>
        <w:tc>
          <w:tcPr>
            <w:tcW w:type="dxa" w:w="1740"/>
          </w:tcPr>
          <w:p>
            <w:pPr>
              <w:jc w:val="left"/>
            </w:pPr>
            <w:r>
              <w:rPr>
                <w:rFonts w:ascii="Times New Roman" w:hAnsi="Times New Roman"/>
                <w:sz w:val="16"/>
              </w:rPr>
              <w:t>31.8 ± 0.8</w:t>
            </w:r>
          </w:p>
        </w:tc>
        <w:tc>
          <w:tcPr>
            <w:tcW w:type="dxa" w:w="1740"/>
          </w:tcPr>
          <w:p>
            <w:pPr>
              <w:jc w:val="left"/>
            </w:pPr>
            <w:r>
              <w:rPr>
                <w:rFonts w:ascii="Times New Roman" w:hAnsi="Times New Roman"/>
                <w:sz w:val="16"/>
              </w:rPr>
              <w:t>100.0 ± 0.0</w:t>
            </w:r>
          </w:p>
        </w:tc>
        <w:tc>
          <w:tcPr>
            <w:tcW w:type="dxa" w:w="1740"/>
          </w:tcPr>
          <w:p>
            <w:pPr>
              <w:jc w:val="left"/>
            </w:pPr>
            <w:r>
              <w:rPr>
                <w:rFonts w:ascii="Times New Roman" w:hAnsi="Times New Roman"/>
                <w:sz w:val="16"/>
              </w:rPr>
              <w:t>100.0 ± 0.0</w:t>
            </w:r>
          </w:p>
        </w:tc>
        <w:tc>
          <w:tcPr>
            <w:tcW w:type="dxa" w:w="1740"/>
          </w:tcPr>
          <w:p>
            <w:pPr>
              <w:jc w:val="left"/>
            </w:pPr>
            <w:r>
              <w:rPr>
                <w:rFonts w:ascii="Times New Roman" w:hAnsi="Times New Roman"/>
                <w:sz w:val="16"/>
              </w:rPr>
              <w:t>0.0 ± 0.0</w:t>
            </w:r>
          </w:p>
        </w:tc>
        <w:tc>
          <w:tcPr>
            <w:tcW w:type="dxa" w:w="1740"/>
          </w:tcPr>
          <w:p>
            <w:pPr>
              <w:jc w:val="left"/>
            </w:pPr>
            <w:r>
              <w:rPr>
                <w:rFonts w:ascii="Times New Roman" w:hAnsi="Times New Roman"/>
                <w:sz w:val="16"/>
              </w:rPr>
              <w:t>0.998 ± 0.007</w:t>
            </w:r>
          </w:p>
        </w:tc>
      </w:tr>
      <w:tr>
        <w:tc>
          <w:tcPr>
            <w:tcW w:type="dxa" w:w="1740"/>
          </w:tcPr>
          <w:p>
            <w:pPr>
              <w:jc w:val="left"/>
            </w:pPr>
            <w:r>
              <w:rPr>
                <w:rFonts w:ascii="Times New Roman" w:hAnsi="Times New Roman"/>
                <w:sz w:val="16"/>
              </w:rPr>
              <w:t>S2</w:t>
            </w:r>
          </w:p>
        </w:tc>
        <w:tc>
          <w:tcPr>
            <w:tcW w:type="dxa" w:w="1740"/>
          </w:tcPr>
          <w:p>
            <w:pPr>
              <w:jc w:val="left"/>
            </w:pPr>
            <w:r>
              <w:rPr>
                <w:rFonts w:ascii="Times New Roman" w:hAnsi="Times New Roman"/>
                <w:sz w:val="16"/>
              </w:rPr>
              <w:t>65.4 ± 1.5</w:t>
            </w:r>
          </w:p>
        </w:tc>
        <w:tc>
          <w:tcPr>
            <w:tcW w:type="dxa" w:w="1740"/>
          </w:tcPr>
          <w:p>
            <w:pPr>
              <w:jc w:val="left"/>
            </w:pPr>
            <w:r>
              <w:rPr>
                <w:rFonts w:ascii="Times New Roman" w:hAnsi="Times New Roman"/>
                <w:sz w:val="16"/>
              </w:rPr>
              <w:t>100.0 ± 0.0</w:t>
            </w:r>
          </w:p>
        </w:tc>
        <w:tc>
          <w:tcPr>
            <w:tcW w:type="dxa" w:w="1740"/>
          </w:tcPr>
          <w:p>
            <w:pPr>
              <w:jc w:val="left"/>
            </w:pPr>
            <w:r>
              <w:rPr>
                <w:rFonts w:ascii="Times New Roman" w:hAnsi="Times New Roman"/>
                <w:sz w:val="16"/>
              </w:rPr>
              <w:t>100.0 ± 0.0</w:t>
            </w:r>
          </w:p>
        </w:tc>
        <w:tc>
          <w:tcPr>
            <w:tcW w:type="dxa" w:w="1740"/>
          </w:tcPr>
          <w:p>
            <w:pPr>
              <w:jc w:val="left"/>
            </w:pPr>
            <w:r>
              <w:rPr>
                <w:rFonts w:ascii="Times New Roman" w:hAnsi="Times New Roman"/>
                <w:sz w:val="16"/>
              </w:rPr>
              <w:t>0.0 ± 0.0</w:t>
            </w:r>
          </w:p>
        </w:tc>
        <w:tc>
          <w:tcPr>
            <w:tcW w:type="dxa" w:w="1740"/>
          </w:tcPr>
          <w:p>
            <w:pPr>
              <w:jc w:val="left"/>
            </w:pPr>
            <w:r>
              <w:rPr>
                <w:rFonts w:ascii="Times New Roman" w:hAnsi="Times New Roman"/>
                <w:sz w:val="16"/>
              </w:rPr>
              <w:t>0.994 ± 0.008</w:t>
            </w:r>
          </w:p>
        </w:tc>
      </w:tr>
      <w:tr>
        <w:tc>
          <w:tcPr>
            <w:tcW w:type="dxa" w:w="1740"/>
          </w:tcPr>
          <w:p>
            <w:pPr>
              <w:jc w:val="left"/>
            </w:pPr>
            <w:r>
              <w:rPr>
                <w:rFonts w:ascii="Times New Roman" w:hAnsi="Times New Roman"/>
                <w:sz w:val="16"/>
              </w:rPr>
              <w:t>S3</w:t>
            </w:r>
          </w:p>
        </w:tc>
        <w:tc>
          <w:tcPr>
            <w:tcW w:type="dxa" w:w="1740"/>
          </w:tcPr>
          <w:p>
            <w:pPr>
              <w:jc w:val="left"/>
            </w:pPr>
            <w:r>
              <w:rPr>
                <w:rFonts w:ascii="Times New Roman" w:hAnsi="Times New Roman"/>
                <w:sz w:val="16"/>
              </w:rPr>
              <w:t>571.4 ± 14.2</w:t>
            </w:r>
          </w:p>
        </w:tc>
        <w:tc>
          <w:tcPr>
            <w:tcW w:type="dxa" w:w="1740"/>
          </w:tcPr>
          <w:p>
            <w:pPr>
              <w:jc w:val="left"/>
            </w:pPr>
            <w:r>
              <w:rPr>
                <w:rFonts w:ascii="Times New Roman" w:hAnsi="Times New Roman"/>
                <w:sz w:val="16"/>
              </w:rPr>
              <w:t>100.0 ± 0.0</w:t>
            </w:r>
          </w:p>
        </w:tc>
        <w:tc>
          <w:tcPr>
            <w:tcW w:type="dxa" w:w="1740"/>
          </w:tcPr>
          <w:p>
            <w:pPr>
              <w:jc w:val="left"/>
            </w:pPr>
            <w:r>
              <w:rPr>
                <w:rFonts w:ascii="Times New Roman" w:hAnsi="Times New Roman"/>
                <w:sz w:val="16"/>
              </w:rPr>
              <w:t>100.0 ± 0.0</w:t>
            </w:r>
          </w:p>
        </w:tc>
        <w:tc>
          <w:tcPr>
            <w:tcW w:type="dxa" w:w="1740"/>
          </w:tcPr>
          <w:p>
            <w:pPr>
              <w:jc w:val="left"/>
            </w:pPr>
            <w:r>
              <w:rPr>
                <w:rFonts w:ascii="Times New Roman" w:hAnsi="Times New Roman"/>
                <w:sz w:val="16"/>
              </w:rPr>
              <w:t>38.4 ± 2.6</w:t>
            </w:r>
          </w:p>
        </w:tc>
        <w:tc>
          <w:tcPr>
            <w:tcW w:type="dxa" w:w="1740"/>
          </w:tcPr>
          <w:p>
            <w:pPr>
              <w:jc w:val="left"/>
            </w:pPr>
            <w:r>
              <w:rPr>
                <w:rFonts w:ascii="Times New Roman" w:hAnsi="Times New Roman"/>
                <w:sz w:val="16"/>
              </w:rPr>
              <w:t>0.967 ± 0.017</w:t>
            </w:r>
          </w:p>
        </w:tc>
      </w:tr>
      <w:tr>
        <w:tc>
          <w:tcPr>
            <w:tcW w:type="dxa" w:w="1740"/>
          </w:tcPr>
          <w:p>
            <w:pPr>
              <w:jc w:val="left"/>
            </w:pPr>
            <w:r>
              <w:rPr>
                <w:rFonts w:ascii="Times New Roman" w:hAnsi="Times New Roman"/>
                <w:sz w:val="16"/>
              </w:rPr>
              <w:t>S4</w:t>
            </w:r>
          </w:p>
        </w:tc>
        <w:tc>
          <w:tcPr>
            <w:tcW w:type="dxa" w:w="1740"/>
          </w:tcPr>
          <w:p>
            <w:pPr>
              <w:jc w:val="left"/>
            </w:pPr>
            <w:r>
              <w:rPr>
                <w:rFonts w:ascii="Times New Roman" w:hAnsi="Times New Roman"/>
                <w:sz w:val="16"/>
              </w:rPr>
              <w:t>31.9 ± 0.8</w:t>
            </w:r>
          </w:p>
        </w:tc>
        <w:tc>
          <w:tcPr>
            <w:tcW w:type="dxa" w:w="1740"/>
          </w:tcPr>
          <w:p>
            <w:pPr>
              <w:jc w:val="left"/>
            </w:pPr>
            <w:r>
              <w:rPr>
                <w:rFonts w:ascii="Times New Roman" w:hAnsi="Times New Roman"/>
                <w:sz w:val="16"/>
              </w:rPr>
              <w:t>100.0 ± 0.0</w:t>
            </w:r>
          </w:p>
        </w:tc>
        <w:tc>
          <w:tcPr>
            <w:tcW w:type="dxa" w:w="1740"/>
          </w:tcPr>
          <w:p>
            <w:pPr>
              <w:jc w:val="left"/>
            </w:pPr>
            <w:r>
              <w:rPr>
                <w:rFonts w:ascii="Times New Roman" w:hAnsi="Times New Roman"/>
                <w:sz w:val="16"/>
              </w:rPr>
              <w:t>100.0 ± 0.0</w:t>
            </w:r>
          </w:p>
        </w:tc>
        <w:tc>
          <w:tcPr>
            <w:tcW w:type="dxa" w:w="1740"/>
          </w:tcPr>
          <w:p>
            <w:pPr>
              <w:jc w:val="left"/>
            </w:pPr>
            <w:r>
              <w:rPr>
                <w:rFonts w:ascii="Times New Roman" w:hAnsi="Times New Roman"/>
                <w:sz w:val="16"/>
              </w:rPr>
              <w:t>0.0 ± 0.0</w:t>
            </w:r>
          </w:p>
        </w:tc>
        <w:tc>
          <w:tcPr>
            <w:tcW w:type="dxa" w:w="1740"/>
          </w:tcPr>
          <w:p>
            <w:pPr>
              <w:jc w:val="left"/>
            </w:pPr>
            <w:r>
              <w:rPr>
                <w:rFonts w:ascii="Times New Roman" w:hAnsi="Times New Roman"/>
                <w:sz w:val="16"/>
              </w:rPr>
              <w:t>0.996 ± 0.013</w:t>
            </w:r>
          </w:p>
        </w:tc>
      </w:tr>
      <w:tr>
        <w:tc>
          <w:tcPr>
            <w:tcW w:type="dxa" w:w="1740"/>
          </w:tcPr>
          <w:p>
            <w:pPr>
              <w:jc w:val="left"/>
            </w:pPr>
            <w:r>
              <w:rPr>
                <w:rFonts w:ascii="Times New Roman" w:hAnsi="Times New Roman"/>
                <w:sz w:val="16"/>
              </w:rPr>
              <w:t>S5</w:t>
            </w:r>
          </w:p>
        </w:tc>
        <w:tc>
          <w:tcPr>
            <w:tcW w:type="dxa" w:w="1740"/>
          </w:tcPr>
          <w:p>
            <w:pPr>
              <w:jc w:val="left"/>
            </w:pPr>
            <w:r>
              <w:rPr>
                <w:rFonts w:ascii="Times New Roman" w:hAnsi="Times New Roman"/>
                <w:sz w:val="16"/>
              </w:rPr>
              <w:t>31.8 ± 0.8</w:t>
            </w:r>
          </w:p>
        </w:tc>
        <w:tc>
          <w:tcPr>
            <w:tcW w:type="dxa" w:w="1740"/>
          </w:tcPr>
          <w:p>
            <w:pPr>
              <w:jc w:val="left"/>
            </w:pPr>
            <w:r>
              <w:rPr>
                <w:rFonts w:ascii="Times New Roman" w:hAnsi="Times New Roman"/>
                <w:sz w:val="16"/>
              </w:rPr>
              <w:t>99.8 ± 0.4</w:t>
            </w:r>
          </w:p>
        </w:tc>
        <w:tc>
          <w:tcPr>
            <w:tcW w:type="dxa" w:w="1740"/>
          </w:tcPr>
          <w:p>
            <w:pPr>
              <w:jc w:val="left"/>
            </w:pPr>
            <w:r>
              <w:rPr>
                <w:rFonts w:ascii="Times New Roman" w:hAnsi="Times New Roman"/>
                <w:sz w:val="16"/>
              </w:rPr>
              <w:t>99.8 ± 0.4</w:t>
            </w:r>
          </w:p>
        </w:tc>
        <w:tc>
          <w:tcPr>
            <w:tcW w:type="dxa" w:w="1740"/>
          </w:tcPr>
          <w:p>
            <w:pPr>
              <w:jc w:val="left"/>
            </w:pPr>
            <w:r>
              <w:rPr>
                <w:rFonts w:ascii="Times New Roman" w:hAnsi="Times New Roman"/>
                <w:sz w:val="16"/>
              </w:rPr>
              <w:t>0.0 ± 0.0</w:t>
            </w:r>
          </w:p>
        </w:tc>
        <w:tc>
          <w:tcPr>
            <w:tcW w:type="dxa" w:w="1740"/>
          </w:tcPr>
          <w:p>
            <w:pPr>
              <w:jc w:val="left"/>
            </w:pPr>
            <w:r>
              <w:rPr>
                <w:rFonts w:ascii="Times New Roman" w:hAnsi="Times New Roman"/>
                <w:sz w:val="16"/>
              </w:rPr>
              <w:t>0.993 ± 0.010</w:t>
            </w:r>
          </w:p>
        </w:tc>
      </w:tr>
      <w:tr>
        <w:tc>
          <w:tcPr>
            <w:tcW w:type="dxa" w:w="1740"/>
          </w:tcPr>
          <w:p>
            <w:pPr>
              <w:jc w:val="left"/>
            </w:pPr>
            <w:r>
              <w:rPr>
                <w:rFonts w:ascii="Times New Roman" w:hAnsi="Times New Roman"/>
                <w:sz w:val="16"/>
              </w:rPr>
              <w:t>S6</w:t>
            </w:r>
          </w:p>
        </w:tc>
        <w:tc>
          <w:tcPr>
            <w:tcW w:type="dxa" w:w="1740"/>
          </w:tcPr>
          <w:p>
            <w:pPr>
              <w:jc w:val="left"/>
            </w:pPr>
            <w:r>
              <w:rPr>
                <w:rFonts w:ascii="Times New Roman" w:hAnsi="Times New Roman"/>
                <w:sz w:val="16"/>
              </w:rPr>
              <w:t>158.9 ± 3.6</w:t>
            </w:r>
          </w:p>
        </w:tc>
        <w:tc>
          <w:tcPr>
            <w:tcW w:type="dxa" w:w="1740"/>
          </w:tcPr>
          <w:p>
            <w:pPr>
              <w:jc w:val="left"/>
            </w:pPr>
            <w:r>
              <w:rPr>
                <w:rFonts w:ascii="Times New Roman" w:hAnsi="Times New Roman"/>
                <w:sz w:val="16"/>
              </w:rPr>
              <w:t>98.1 ± 1.4</w:t>
            </w:r>
          </w:p>
        </w:tc>
        <w:tc>
          <w:tcPr>
            <w:tcW w:type="dxa" w:w="1740"/>
          </w:tcPr>
          <w:p>
            <w:pPr>
              <w:jc w:val="left"/>
            </w:pPr>
            <w:r>
              <w:rPr>
                <w:rFonts w:ascii="Times New Roman" w:hAnsi="Times New Roman"/>
                <w:sz w:val="16"/>
              </w:rPr>
              <w:t>98.1 ± 1.4</w:t>
            </w:r>
          </w:p>
        </w:tc>
        <w:tc>
          <w:tcPr>
            <w:tcW w:type="dxa" w:w="1740"/>
          </w:tcPr>
          <w:p>
            <w:pPr>
              <w:jc w:val="left"/>
            </w:pPr>
            <w:r>
              <w:rPr>
                <w:rFonts w:ascii="Times New Roman" w:hAnsi="Times New Roman"/>
                <w:sz w:val="16"/>
              </w:rPr>
              <w:t>35.7 ± 3.3</w:t>
            </w:r>
          </w:p>
        </w:tc>
        <w:tc>
          <w:tcPr>
            <w:tcW w:type="dxa" w:w="1740"/>
          </w:tcPr>
          <w:p>
            <w:pPr>
              <w:jc w:val="left"/>
            </w:pPr>
            <w:r>
              <w:rPr>
                <w:rFonts w:ascii="Times New Roman" w:hAnsi="Times New Roman"/>
                <w:sz w:val="16"/>
              </w:rPr>
              <w:t>0.895 ± 0.072</w:t>
            </w:r>
          </w:p>
        </w:tc>
      </w:tr>
    </w:tbl>
    <w:p>
      <w:pPr>
        <w:spacing w:before="0" w:after="120"/>
        <w:jc w:val="both"/>
      </w:pPr>
    </w:p>
    <w:p>
      <w:pPr>
        <w:spacing w:before="240" w:after="80"/>
        <w:jc w:val="center"/>
      </w:pPr>
      <w:r>
        <w:rPr>
          <w:rFonts w:ascii="Times New Roman" w:hAnsi="Times New Roman"/>
          <w:b/>
          <w:i w:val="0"/>
          <w:caps/>
          <w:sz w:val="20"/>
        </w:rPr>
        <w:t>VII.  Discussion</w:t>
      </w:r>
    </w:p>
    <w:p>
      <w:pPr>
        <w:spacing w:before="140" w:after="60"/>
        <w:jc w:val="left"/>
      </w:pPr>
      <w:r>
        <w:rPr>
          <w:rFonts w:ascii="Times New Roman" w:hAnsi="Times New Roman"/>
          <w:b/>
          <w:i/>
          <w:caps w:val="0"/>
          <w:sz w:val="20"/>
        </w:rPr>
        <w:t>A.  Security-Performance Trade-off</w:t>
      </w:r>
    </w:p>
    <w:p>
      <w:pPr>
        <w:spacing w:before="0" w:after="80"/>
        <w:ind w:firstLine="288"/>
        <w:jc w:val="both"/>
      </w:pPr>
      <w:r>
        <w:rPr>
          <w:rFonts w:ascii="Times New Roman" w:hAnsi="Times New Roman"/>
          <w:b w:val="0"/>
          <w:i w:val="0"/>
          <w:caps w:val="0"/>
          <w:sz w:val="20"/>
        </w:rPr>
        <w:t>The fundamental insight from TAHTO's evaluation is that security and performance are not inherently opposed in edge offloading: they only appear so when security is implemented as a binary (trust/distrust) switch. TAHTO's continuous trust scoring, hard gate, and adaptive escalation create a smooth operating envelope: in safe conditions (S1–S4), TAHTO is identical to the performance-optimal B1; under attack (S5, S6), it gracefully degrades to the cloud fallback while maintaining correctness.</w:t>
      </w:r>
    </w:p>
    <w:p>
      <w:pPr>
        <w:spacing w:before="140" w:after="60"/>
        <w:jc w:val="left"/>
      </w:pPr>
      <w:r>
        <w:rPr>
          <w:rFonts w:ascii="Times New Roman" w:hAnsi="Times New Roman"/>
          <w:b/>
          <w:i/>
          <w:caps w:val="0"/>
          <w:sz w:val="20"/>
        </w:rPr>
        <w:t>B.  The S6 Residual Miss Rate</w:t>
      </w:r>
    </w:p>
    <w:p>
      <w:pPr>
        <w:spacing w:before="0" w:after="80"/>
        <w:ind w:firstLine="288"/>
        <w:jc w:val="both"/>
      </w:pPr>
      <w:r>
        <w:rPr>
          <w:rFonts w:ascii="Times New Roman" w:hAnsi="Times New Roman"/>
          <w:b w:val="0"/>
          <w:i w:val="0"/>
          <w:caps w:val="0"/>
          <w:sz w:val="20"/>
        </w:rPr>
        <w:t>TAHTO's 1.92% missed avoidance in S6 requires careful interpretation. It does not indicate a fundamental TAHTO vulnerability. The miss is entirely concentrated in the first one or two monitoring windows after the t=20 s delayed attack onset, before the online model has accumulated post-onset telemetry for retraining. Once sufficient attacked-state data enters the training set (typically within 50–100 tasks after onset), trust scores for the malicious nodes drop below 0.50 and the gate excludes them completely. A shorter monitoring window (smaller UPDATE_EVERY) would reduce this onset latency at the cost of more frequent retraining computation.</w:t>
      </w:r>
    </w:p>
    <w:p>
      <w:pPr>
        <w:spacing w:before="140" w:after="60"/>
        <w:jc w:val="left"/>
      </w:pPr>
      <w:r>
        <w:rPr>
          <w:rFonts w:ascii="Times New Roman" w:hAnsi="Times New Roman"/>
          <w:b/>
          <w:i/>
          <w:caps w:val="0"/>
          <w:sz w:val="20"/>
        </w:rPr>
        <w:t>C.  Regulatory and Standards Alignment</w:t>
      </w:r>
    </w:p>
    <w:p>
      <w:pPr>
        <w:spacing w:before="0" w:after="80"/>
        <w:ind w:firstLine="288"/>
        <w:jc w:val="both"/>
      </w:pPr>
      <w:r>
        <w:rPr>
          <w:rFonts w:ascii="Times New Roman" w:hAnsi="Times New Roman"/>
          <w:b w:val="0"/>
          <w:i w:val="0"/>
          <w:caps w:val="0"/>
          <w:sz w:val="20"/>
        </w:rPr>
        <w:t>TAHTO's design aligns with three key regulatory frameworks: (1) NIST Zero-Trust (SP 800-207) [6]: continuous per-node verification without implicit trust, with revocable access based on dynamic assessment. (2) HIPAA Minimum Necessary Rule: sensitivity-based routing (Gate 2) ensures High-sensitivity patient data (cardiac rhythm, medication dosage) is only processed by nodes meeting the stricter T_high=0.70 threshold. (3) GDPR Accountability (Art. 5(2)): the accumulated trust score history and per-window evaluation records provide a timestamped audit trail demonstrating due diligence in data routing decisions.</w:t>
      </w:r>
    </w:p>
    <w:p>
      <w:pPr>
        <w:spacing w:before="140" w:after="60"/>
        <w:jc w:val="left"/>
      </w:pPr>
      <w:r>
        <w:rPr>
          <w:rFonts w:ascii="Times New Roman" w:hAnsi="Times New Roman"/>
          <w:b/>
          <w:i/>
          <w:caps w:val="0"/>
          <w:sz w:val="20"/>
        </w:rPr>
        <w:t>D.  Limitations and Future Work</w:t>
      </w:r>
    </w:p>
    <w:p>
      <w:pPr>
        <w:spacing w:before="0" w:after="80"/>
        <w:ind w:firstLine="288"/>
        <w:jc w:val="both"/>
      </w:pPr>
      <w:r>
        <w:rPr>
          <w:rFonts w:ascii="Times New Roman" w:hAnsi="Times New Roman"/>
          <w:b w:val="0"/>
          <w:i w:val="0"/>
          <w:caps w:val="0"/>
          <w:sz w:val="20"/>
        </w:rPr>
        <w:t>The current evaluation uses synthetic simulation data calibrated to published benchmarks [2, 3]. Key limitations to address in future work: (1) Real-world IoMT traces: validation against clinical sensor data with realistic task arrival patterns and network conditions. (2) Transmission-layer threats: extending the threat model to include man-in-the-middle attacks and eavesdropping on the device-to-edge link. (3) Federated trust learning [8]: training trust models collaboratively across multiple clinical sites without sharing patient data, addressing the data-privacy constraint inherent in centralised training. (4) Hardware deployment: validation on real edge hardware (Raspberry Pi 4, NVIDIA Jetson) to confirm the sub-25 µs overhead claim under realistic OS scheduling jitter.</w:t>
      </w:r>
    </w:p>
    <w:p>
      <w:pPr>
        <w:spacing w:before="240" w:after="80"/>
        <w:jc w:val="center"/>
      </w:pPr>
      <w:r>
        <w:rPr>
          <w:rFonts w:ascii="Times New Roman" w:hAnsi="Times New Roman"/>
          <w:b/>
          <w:i w:val="0"/>
          <w:caps/>
          <w:sz w:val="20"/>
        </w:rPr>
        <w:t>VIII.  Conclusion</w:t>
      </w:r>
    </w:p>
    <w:p>
      <w:pPr>
        <w:spacing w:before="0" w:after="80"/>
        <w:ind w:firstLine="288"/>
        <w:jc w:val="both"/>
      </w:pPr>
      <w:r>
        <w:rPr>
          <w:rFonts w:ascii="Times New Roman" w:hAnsi="Times New Roman"/>
          <w:b w:val="0"/>
          <w:i w:val="0"/>
          <w:caps w:val="0"/>
          <w:sz w:val="20"/>
        </w:rPr>
        <w:t>This paper presented TAHTO, a Trust-Aware Hybrid Task Offloading framework designed for secure IoMT edge-cloud healthcare systems. TAHTO addresses the fundamental gap in existing offloading frameworks: the implicit assumption that edge nodes are trustworthy. By continuously predicting node trustworthiness from real-time telemetry using an online-adaptive XGBoost classifier, integrating trust into a min-max-normalised multi-objective scheduling function, and triggering adaptive cloud escalation under trust gate failure or queue saturation, TAHTO achieves security without sacrificing edge resource efficiency in safe deployment conditions.</w:t>
      </w:r>
    </w:p>
    <w:p>
      <w:pPr>
        <w:spacing w:before="0" w:after="80"/>
        <w:ind w:firstLine="288"/>
        <w:jc w:val="both"/>
      </w:pPr>
      <w:r>
        <w:rPr>
          <w:rFonts w:ascii="Times New Roman" w:hAnsi="Times New Roman"/>
          <w:b w:val="0"/>
          <w:i w:val="0"/>
          <w:caps w:val="0"/>
          <w:sz w:val="20"/>
        </w:rPr>
        <w:t>Evaluated across six adversarial scenarios over 10 independent seeds, TAHTO achieves 99.78% malicious-node avoidance in pure-attack conditions and 98.08% in the combined worst-case scenario where 40% of active nodes are simultaneously Byzantine — compared to 69.5% for both the performance-only and static-reputation baselines. Scheduling overhead remains below 25 µs per task. Weight sensitivity analysis confirms that the hard trust gate — not the scoring weights — is the dominant security mechanism, making TAHTO robust to imprecise weight tuning in deployment.</w:t>
      </w:r>
    </w:p>
    <w:p>
      <w:pPr>
        <w:spacing w:before="0" w:after="80"/>
        <w:ind w:firstLine="288"/>
        <w:jc w:val="both"/>
      </w:pPr>
      <w:r>
        <w:rPr>
          <w:rFonts w:ascii="Times New Roman" w:hAnsi="Times New Roman"/>
          <w:b w:val="0"/>
          <w:i w:val="0"/>
          <w:caps w:val="0"/>
          <w:sz w:val="20"/>
        </w:rPr>
        <w:t>The fully reproducible open-source Python simulation codebase provides a rigorously validated foundation for future hardware deployment, federated trust learning, and integration with real-world IoMT telemetry pipelines.</w:t>
      </w:r>
    </w:p>
    <w:p>
      <w:pPr>
        <w:spacing w:before="240" w:after="80"/>
        <w:jc w:val="center"/>
      </w:pPr>
      <w:r>
        <w:rPr>
          <w:rFonts w:ascii="Times New Roman" w:hAnsi="Times New Roman"/>
          <w:b/>
          <w:i w:val="0"/>
          <w:caps/>
          <w:sz w:val="20"/>
        </w:rPr>
        <w:t>References</w:t>
      </w:r>
    </w:p>
    <w:p>
      <w:pPr>
        <w:spacing w:before="0" w:after="60"/>
        <w:ind w:left="360" w:hanging="360"/>
        <w:jc w:val="both"/>
      </w:pPr>
      <w:r>
        <w:rPr>
          <w:rFonts w:ascii="Times New Roman" w:hAnsi="Times New Roman"/>
          <w:b w:val="0"/>
          <w:i w:val="0"/>
          <w:caps w:val="0"/>
          <w:sz w:val="16"/>
        </w:rPr>
        <w:t>[1]  S. M. R. Islam, D. Kwak, M. H. Kabir, M. Hossain, and K.-S. Kwak, "The Internet of Things for Health Care: A Comprehensive Survey," IEEE Access, vol. 3, pp. 678-708, 2015.</w:t>
      </w:r>
    </w:p>
    <w:p>
      <w:pPr>
        <w:spacing w:before="0" w:after="60"/>
        <w:ind w:left="360" w:hanging="360"/>
        <w:jc w:val="both"/>
      </w:pPr>
      <w:r>
        <w:rPr>
          <w:rFonts w:ascii="Times New Roman" w:hAnsi="Times New Roman"/>
          <w:b w:val="0"/>
          <w:i w:val="0"/>
          <w:caps w:val="0"/>
          <w:sz w:val="16"/>
        </w:rPr>
        <w:t>[2]  X. Chen, L. Jiao, W. Li, and X. Fu, "Efficient Multi-User Computation Offloading for Mobile-Edge Cloud Computing," IEEE/ACM Transactions on Networking, vol. 24, no. 5, pp. 2739-2750, Oct. 2016.</w:t>
      </w:r>
    </w:p>
    <w:p>
      <w:pPr>
        <w:spacing w:before="0" w:after="60"/>
        <w:ind w:left="360" w:hanging="360"/>
        <w:jc w:val="both"/>
      </w:pPr>
      <w:r>
        <w:rPr>
          <w:rFonts w:ascii="Times New Roman" w:hAnsi="Times New Roman"/>
          <w:b w:val="0"/>
          <w:i w:val="0"/>
          <w:caps w:val="0"/>
          <w:sz w:val="16"/>
        </w:rPr>
        <w:t>[3]  Y. Mao, C. You, J. Zhang, K. Huang, and K. B. Letaief, "A Survey on Mobile Edge Computing: The Communication Perspective," IEEE Communications Surveys &amp; Tutorials, vol. 19, no. 4, pp. 2322-2358, 2017.</w:t>
      </w:r>
    </w:p>
    <w:p>
      <w:pPr>
        <w:spacing w:before="0" w:after="60"/>
        <w:ind w:left="360" w:hanging="360"/>
        <w:jc w:val="both"/>
      </w:pPr>
      <w:r>
        <w:rPr>
          <w:rFonts w:ascii="Times New Roman" w:hAnsi="Times New Roman"/>
          <w:b w:val="0"/>
          <w:i w:val="0"/>
          <w:caps w:val="0"/>
          <w:sz w:val="16"/>
        </w:rPr>
        <w:t>[4]  R. Khan, P. Kumar, D. N. K. Jayakody, and M. Liyanage, "A Survey on Security and Privacy of 5G Technologies: Potential Solutions, Recent Advancements, and Future Directions," IEEE Communications Surveys &amp; Tutorials, vol. 22, no. 1, pp. 196-248, 2020.</w:t>
      </w:r>
    </w:p>
    <w:p>
      <w:pPr>
        <w:spacing w:before="0" w:after="60"/>
        <w:ind w:left="360" w:hanging="360"/>
        <w:jc w:val="both"/>
      </w:pPr>
      <w:r>
        <w:rPr>
          <w:rFonts w:ascii="Times New Roman" w:hAnsi="Times New Roman"/>
          <w:b w:val="0"/>
          <w:i w:val="0"/>
          <w:caps w:val="0"/>
          <w:sz w:val="16"/>
        </w:rPr>
        <w:t>[5]  N. Neshenko, E. Bou-Harb, J. Crichigno, G. Kaddoum, and N. Ghani, "Demystifying IoT Security: An Exhaustive Survey on IoT Vulnerabilities and a First Empirical Look on Internet-Scale IoT Exploitations," IEEE Communications Surveys &amp; Tutorials, vol. 21, no. 3, pp. 2702-2733, 2019.</w:t>
      </w:r>
    </w:p>
    <w:p>
      <w:pPr>
        <w:spacing w:before="0" w:after="60"/>
        <w:ind w:left="360" w:hanging="360"/>
        <w:jc w:val="both"/>
      </w:pPr>
      <w:r>
        <w:rPr>
          <w:rFonts w:ascii="Times New Roman" w:hAnsi="Times New Roman"/>
          <w:b w:val="0"/>
          <w:i w:val="0"/>
          <w:caps w:val="0"/>
          <w:sz w:val="16"/>
        </w:rPr>
        <w:t>[6]  S. Rose, O. Borchert, S. Mitchell, and S. Connelly, "Zero Trust Architecture," National Institute of Standards and Technology, Special Publication 800-207, Aug. 2020.</w:t>
      </w:r>
    </w:p>
    <w:p>
      <w:pPr>
        <w:spacing w:before="0" w:after="60"/>
        <w:ind w:left="360" w:hanging="360"/>
        <w:jc w:val="both"/>
      </w:pPr>
      <w:r>
        <w:rPr>
          <w:rFonts w:ascii="Times New Roman" w:hAnsi="Times New Roman"/>
          <w:b w:val="0"/>
          <w:i w:val="0"/>
          <w:caps w:val="0"/>
          <w:sz w:val="16"/>
        </w:rPr>
        <w:t>[7]  J. Zhang, X. Chen, Y. Xiang, W. Zhou, and J. Wu, "Robust Network Intrusion Detection with Combined Statistical Analysis and Machine Learning," IEEE Transactions on Information Forensics and Security, vol. 16, pp. 217-232, 2021.</w:t>
      </w:r>
    </w:p>
    <w:p>
      <w:pPr>
        <w:spacing w:before="0" w:after="60"/>
        <w:ind w:left="360" w:hanging="360"/>
        <w:jc w:val="both"/>
      </w:pPr>
      <w:r>
        <w:rPr>
          <w:rFonts w:ascii="Times New Roman" w:hAnsi="Times New Roman"/>
          <w:b w:val="0"/>
          <w:i w:val="0"/>
          <w:caps w:val="0"/>
          <w:sz w:val="16"/>
        </w:rPr>
        <w:t>[8]  D. C. Nguyen, M. Ding, P. N. Pathirana, A. Seneviratne, J. Li, and H. V. Poor, "Federated Learning for Internet of Things: A Comprehensive Survey," IEEE Communications Surveys &amp; Tutorials, vol. 23, no. 3, pp. 1622-1658, 2021.</w:t>
      </w:r>
    </w:p>
    <w:p>
      <w:pPr>
        <w:spacing w:before="0" w:after="60"/>
        <w:ind w:left="360" w:hanging="360"/>
        <w:jc w:val="both"/>
      </w:pPr>
      <w:r>
        <w:rPr>
          <w:rFonts w:ascii="Times New Roman" w:hAnsi="Times New Roman"/>
          <w:b w:val="0"/>
          <w:i w:val="0"/>
          <w:caps w:val="0"/>
          <w:sz w:val="16"/>
        </w:rPr>
        <w:t>[Base]  S. Khan, S. Liu, L. Pan, and G. Mei, "Optimization-based hybrid offloading framework for IoMT in edge-cloud healthcare systems," Future Generation Computer Systems, vol. 176, p. 108163, Mar. 2026.</w:t>
      </w:r>
    </w:p>
    <w:sectPr w:rsidR="00FC693F" w:rsidRPr="0006063C" w:rsidSect="00034616">
      <w:type w:val="continuous"/>
      <w:pgSz w:w="12240" w:h="15840"/>
      <w:pgMar w:top="1080" w:right="900" w:bottom="1440" w:left="900" w:header="720" w:footer="720" w:gutter="0"/>
      <w:docGrid w:linePitch="36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