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40"/>
        </w:rPr>
        <w:t>TAHTO: A Trust-Aware Hybrid Task Offloading Framework</w:t>
        <w:br/>
        <w:t>for Secure IoMT Edge–Cloud Healthcare Systems</w:t>
      </w:r>
    </w:p>
    <w:p>
      <w:pPr>
        <w:spacing w:after="20"/>
        <w:jc w:val="center"/>
      </w:pPr>
      <w:r>
        <w:rPr>
          <w:rFonts w:ascii="Times New Roman" w:hAnsi="Times New Roman"/>
          <w:b w:val="0"/>
          <w:i w:val="0"/>
          <w:sz w:val="22"/>
        </w:rPr>
        <w:t>[Author Name]</w:t>
      </w:r>
    </w:p>
    <w:p>
      <w:pPr>
        <w:spacing w:after="200"/>
        <w:jc w:val="center"/>
      </w:pPr>
      <w:r>
        <w:rPr>
          <w:rFonts w:ascii="Times New Roman" w:hAnsi="Times New Roman"/>
          <w:b w:val="0"/>
          <w:i/>
          <w:sz w:val="20"/>
        </w:rPr>
        <w:t>[Department, Institution, City, Country]   ·   [email@institution.edu]</w:t>
      </w:r>
    </w:p>
    <w:p>
      <w:pPr>
        <w:spacing w:before="180" w:after="80"/>
        <w:jc w:val="center"/>
      </w:pPr>
      <w:r>
        <w:rPr>
          <w:rFonts w:ascii="Times New Roman" w:hAnsi="Times New Roman"/>
          <w:b/>
          <w:i w:val="0"/>
          <w:sz w:val="20"/>
        </w:rPr>
        <w:t>Abstract</w:t>
      </w:r>
    </w:p>
    <w:p>
      <w:pPr>
        <w:spacing w:before="0" w:after="80"/>
        <w:jc w:val="both"/>
      </w:pPr>
      <w:r>
        <w:rPr>
          <w:rFonts w:ascii="Times New Roman" w:hAnsi="Times New Roman"/>
          <w:b w:val="0"/>
          <w:i w:val="0"/>
          <w:sz w:val="20"/>
        </w:rPr>
        <w:t>The Internet of Medical Things (IoMT) generates continuous streams of sensitive patient data requiring low-latency, high-reliability, and robust security. Edge-cloud offloading frameworks address the computational constraints of resource-limited IoMT devices, but existing approaches treat all edge nodes as equally trustworthy — leaving medical workloads exposed to Byzantine failures, node spoofing, and data-injection attacks. This paper presents TAHTO (Trust-Aware Hybrid Task Offloading), a framework that integrates a real-time XGBoost-based trust classifier with a formal multi-objective scheduling function. TAHTO enforces a hard trust gate (T(n) &lt; 0.50), a stricter threshold for High-sensitivity tasks (T(n) &gt; 0.70), and bandwidth-aware cloud escalation under queue saturation. Evaluated across six adversarial scenarios against three baselines over three workload seeds, TAHTO achieves 100% malicious-node avoidance in the adversarial scenarios while adaptively using the cloud when trusted edge capacity is unavailable. The model is periodically retrained on previously observed synthetic telemetry and evaluated on the next unseen monitoring window. The complete simulation codebase is available for reproducibility.</w:t>
      </w:r>
    </w:p>
    <w:p>
      <w:pPr>
        <w:spacing w:after="240"/>
      </w:pPr>
      <w:r>
        <w:rPr>
          <w:rFonts w:ascii="Times New Roman" w:hAnsi="Times New Roman"/>
          <w:b/>
          <w:i w:val="0"/>
          <w:sz w:val="20"/>
        </w:rPr>
        <w:t xml:space="preserve">Keywords — </w:t>
      </w:r>
      <w:r>
        <w:rPr>
          <w:rFonts w:ascii="Times New Roman" w:hAnsi="Times New Roman"/>
          <w:b w:val="0"/>
          <w:i/>
          <w:sz w:val="20"/>
        </w:rPr>
        <w:t>IoMT; task offloading; trust management; edge computing; XGBoost; healthcare security; cloud escalation; zero-trust architecture</w:t>
      </w:r>
    </w:p>
    <w:p>
      <w:pPr>
        <w:sectPr>
          <w:pgSz w:w="12240" w:h="15840"/>
          <w:pgMar w:top="1080" w:right="900" w:bottom="1440" w:left="900" w:header="720" w:footer="720" w:gutter="0"/>
          <w:docGrid w:linePitch="360"/>
          <w:cols w:num="1"/>
        </w:sectPr>
      </w:pPr>
    </w:p>
    <w:p>
      <w:pPr>
        <w:spacing w:before="180" w:after="80"/>
        <w:jc w:val="left"/>
      </w:pPr>
      <w:r>
        <w:rPr>
          <w:rFonts w:ascii="Times New Roman" w:hAnsi="Times New Roman"/>
          <w:b/>
          <w:i w:val="0"/>
          <w:sz w:val="20"/>
        </w:rPr>
        <w:t>I.  Introduction</w:t>
      </w:r>
    </w:p>
    <w:p>
      <w:pPr>
        <w:spacing w:before="0" w:after="80"/>
        <w:ind w:firstLine="288"/>
        <w:jc w:val="both"/>
      </w:pPr>
      <w:r>
        <w:rPr>
          <w:rFonts w:ascii="Times New Roman" w:hAnsi="Times New Roman"/>
          <w:b w:val="0"/>
          <w:i w:val="0"/>
          <w:sz w:val="20"/>
        </w:rPr>
        <w:t>The Internet of Medical Things (IoMT) is transforming healthcare by enabling wearable sensors, ECG monitors, and portable diagnostic devices to collect and transmit patient data in real time [1]. As IoMT deployments scale to thousands of devices per clinical site, the computational demands of biosignal analysis, anomaly detection, and AI-driven decision support far exceed the on-device processing capacity of resource-constrained endpoints [2].</w:t>
      </w:r>
    </w:p>
    <w:p>
      <w:pPr>
        <w:spacing w:before="0" w:after="80"/>
        <w:ind w:firstLine="288"/>
        <w:jc w:val="both"/>
      </w:pPr>
      <w:r>
        <w:rPr>
          <w:rFonts w:ascii="Times New Roman" w:hAnsi="Times New Roman"/>
          <w:b w:val="0"/>
          <w:i w:val="0"/>
          <w:sz w:val="20"/>
        </w:rPr>
        <w:t>Computational offloading to edge and cloud servers addresses this gap by enabling time-sensitive tasks to run on nearby edge nodes for low-latency response, while data-intensive analytics are delegated to cloud infrastructure [3]. However, edge nodes deployed in clinical environments — corridor gateways, ward servers, and embedded controllers — are routinely exposed to physical and cyber threats. A compromised node may silently corrupt task outputs (data injection), impersonate a legitimate node (spoofing), or exhaust shared resources to deny legitimate service (resource exhaustion) [5].</w:t>
      </w:r>
    </w:p>
    <w:p>
      <w:pPr>
        <w:spacing w:before="0" w:after="80"/>
        <w:ind w:firstLine="288"/>
        <w:jc w:val="both"/>
      </w:pPr>
      <w:r>
        <w:rPr>
          <w:rFonts w:ascii="Times New Roman" w:hAnsi="Times New Roman"/>
          <w:b w:val="0"/>
          <w:i w:val="0"/>
          <w:sz w:val="20"/>
        </w:rPr>
        <w:t>Existing offloading frameworks optimise for latency, energy, and QoS, but treat all candidate edge nodes as equally trustworthy. Static reputation systems assign fixed scores that cannot adapt to dynamic adversarial conditions; pure zero-trust approaches eliminate the latency advantage of edge computing entirely by routing all tasks to the cloud [4]. This gap motivates the present work.</w:t>
      </w:r>
    </w:p>
    <w:p>
      <w:pPr>
        <w:spacing w:before="0" w:after="80"/>
        <w:ind w:firstLine="288"/>
        <w:jc w:val="both"/>
      </w:pPr>
      <w:r>
        <w:rPr>
          <w:rFonts w:ascii="Times New Roman" w:hAnsi="Times New Roman"/>
          <w:b w:val="0"/>
          <w:i w:val="0"/>
          <w:sz w:val="20"/>
        </w:rPr>
        <w:t>We present TAHTO — Trust-Aware Hybrid Task Offloading — a framework that continuously predicts edge node trustworthiness using a lightweight XGBoost classifier on a 9-dimensional telemetry vector, and integrates the predicted trust score into a formal multi-objective scheduling function. TAHTO enforces a hard trust gate (T &lt; 0.50), applies a stricter threshold for High-sensitivity tasks (T &gt; 0.70), and triggers cloud escalation under queue saturation — realising the adaptive security guarantee required by HIPAA, GDPR, and NIST Zero-Trust principles (SP 800-207) [6].</w:t>
      </w:r>
    </w:p>
    <w:p>
      <w:pPr>
        <w:spacing w:before="0" w:after="80"/>
        <w:ind w:firstLine="288"/>
        <w:jc w:val="both"/>
      </w:pPr>
      <w:r>
        <w:rPr>
          <w:rFonts w:ascii="Times New Roman" w:hAnsi="Times New Roman"/>
          <w:b w:val="0"/>
          <w:i w:val="0"/>
          <w:sz w:val="20"/>
        </w:rPr>
        <w:t>The main contributions of this paper are:</w:t>
      </w:r>
    </w:p>
    <w:p>
      <w:pPr>
        <w:spacing w:before="0" w:after="40"/>
        <w:ind w:firstLine="360"/>
        <w:jc w:val="both"/>
      </w:pPr>
      <w:r>
        <w:rPr>
          <w:rFonts w:ascii="Times New Roman" w:hAnsi="Times New Roman"/>
          <w:b w:val="0"/>
          <w:i w:val="0"/>
          <w:sz w:val="20"/>
        </w:rPr>
        <w:t>(1) A formal multi-objective scheduling function jointly optimising latency, energy, QoS, and real-time trust, with tunable weights subject to sensitivity analysis.</w:t>
      </w:r>
    </w:p>
    <w:p>
      <w:pPr>
        <w:spacing w:before="0" w:after="40"/>
        <w:ind w:firstLine="360"/>
        <w:jc w:val="both"/>
      </w:pPr>
      <w:r>
        <w:rPr>
          <w:rFonts w:ascii="Times New Roman" w:hAnsi="Times New Roman"/>
          <w:b w:val="0"/>
          <w:i w:val="0"/>
          <w:sz w:val="20"/>
        </w:rPr>
        <w:t>(2) An adaptive XGBoost trust pipeline that is periodically retrained on previously observed synthetic telemetry and evaluated on the next monitoring window.</w:t>
      </w:r>
    </w:p>
    <w:p>
      <w:pPr>
        <w:spacing w:before="0" w:after="40"/>
        <w:ind w:firstLine="360"/>
        <w:jc w:val="both"/>
      </w:pPr>
      <w:r>
        <w:rPr>
          <w:rFonts w:ascii="Times New Roman" w:hAnsi="Times New Roman"/>
          <w:b w:val="0"/>
          <w:i w:val="0"/>
          <w:sz w:val="20"/>
        </w:rPr>
        <w:t>(3) A bandwidth-aware cloud escalation policy triggered by trust gate failure or queue saturation — preventing hot-spot overload in worst-case scenarios.</w:t>
      </w:r>
    </w:p>
    <w:p>
      <w:pPr>
        <w:spacing w:before="0" w:after="40"/>
        <w:ind w:firstLine="360"/>
        <w:jc w:val="both"/>
      </w:pPr>
      <w:r>
        <w:rPr>
          <w:rFonts w:ascii="Times New Roman" w:hAnsi="Times New Roman"/>
          <w:b w:val="0"/>
          <w:i w:val="0"/>
          <w:sz w:val="20"/>
        </w:rPr>
        <w:t>(4) Comprehensive evaluation across six structured scenarios measuring latency, energy, task completion, malicious avoidance, scheduling overhead, and CPU utilisation.</w:t>
      </w:r>
    </w:p>
    <w:p>
      <w:pPr>
        <w:spacing w:before="0" w:after="40"/>
        <w:ind w:firstLine="360"/>
        <w:jc w:val="both"/>
      </w:pPr>
      <w:r>
        <w:rPr>
          <w:rFonts w:ascii="Times New Roman" w:hAnsi="Times New Roman"/>
          <w:b w:val="0"/>
          <w:i w:val="0"/>
          <w:sz w:val="20"/>
        </w:rPr>
        <w:t>(5) A trace-driven, event-based simulation codebase using a shared Poisson workload trace and multi-seed reporting.</w:t>
      </w:r>
    </w:p>
    <w:p>
      <w:pPr>
        <w:spacing w:before="180" w:after="80"/>
        <w:jc w:val="left"/>
      </w:pPr>
      <w:r>
        <w:rPr>
          <w:rFonts w:ascii="Times New Roman" w:hAnsi="Times New Roman"/>
          <w:b/>
          <w:i w:val="0"/>
          <w:sz w:val="20"/>
        </w:rPr>
        <w:t>II.  Related Work</w:t>
      </w:r>
    </w:p>
    <w:p>
      <w:pPr>
        <w:spacing w:before="120" w:after="40"/>
        <w:jc w:val="left"/>
      </w:pPr>
      <w:r>
        <w:rPr>
          <w:rFonts w:ascii="Times New Roman" w:hAnsi="Times New Roman"/>
          <w:b/>
          <w:i/>
          <w:sz w:val="20"/>
        </w:rPr>
        <w:t>A.  Hybrid Task Offloading in IoMT</w:t>
      </w:r>
    </w:p>
    <w:p>
      <w:pPr>
        <w:spacing w:before="0" w:after="80"/>
        <w:ind w:firstLine="288"/>
        <w:jc w:val="both"/>
      </w:pPr>
      <w:r>
        <w:rPr>
          <w:rFonts w:ascii="Times New Roman" w:hAnsi="Times New Roman"/>
          <w:b w:val="0"/>
          <w:i w:val="0"/>
          <w:sz w:val="20"/>
        </w:rPr>
        <w:t>Khan et al. [Base] proposed a hybrid framework combining GA, PSO, and GNNs to minimise latency and energy in edge-cloud healthcare systems, demonstrating strong performance gains but assuming all edge nodes are benign. Pal et al. introduced IoT-SCOM for service-oriented latency minimisation; Putra et al. proposed Edge Federated Learning for secure IoMT diagnostics. Both address performance or data-level security without modelling node-level trustworthiness or providing task-scheduling integration. Wang et al. proposed a GNN + attention-mechanism routing algorithm (SAG) with strong delay performance in consumer IoT but without healthcare-specific trust guarantees.</w:t>
      </w:r>
    </w:p>
    <w:p>
      <w:pPr>
        <w:spacing w:before="120" w:after="40"/>
        <w:jc w:val="left"/>
      </w:pPr>
      <w:r>
        <w:rPr>
          <w:rFonts w:ascii="Times New Roman" w:hAnsi="Times New Roman"/>
          <w:b/>
          <w:i/>
          <w:sz w:val="20"/>
        </w:rPr>
        <w:t>B.  Trust Management and Zero-Trust Architectures</w:t>
      </w:r>
    </w:p>
    <w:p>
      <w:pPr>
        <w:spacing w:before="0" w:after="80"/>
        <w:ind w:firstLine="288"/>
        <w:jc w:val="both"/>
      </w:pPr>
      <w:r>
        <w:rPr>
          <w:rFonts w:ascii="Times New Roman" w:hAnsi="Times New Roman"/>
          <w:b w:val="0"/>
          <w:i w:val="0"/>
          <w:sz w:val="20"/>
        </w:rPr>
        <w:t>Khan et al. [4] surveyed trust management in Social IoT, identifying static reputation as the dominant paradigm — inadequate against dynamic Byzantine conditions. NIST SP 800-207 [6] formalises Zero-Trust as continuous per-resource verification. Zhang et al. [7] demonstrated XGBoost for network intrusion detection with sub-millisecond inference. Our work applies this insight specifically to edge-node trust scoring integrated into task scheduling — an integration not addressed by existing federated IoT surveys [8].</w:t>
      </w:r>
    </w:p>
    <w:p>
      <w:pPr>
        <w:spacing w:before="120" w:after="40"/>
        <w:jc w:val="left"/>
      </w:pPr>
      <w:r>
        <w:rPr>
          <w:rFonts w:ascii="Times New Roman" w:hAnsi="Times New Roman"/>
          <w:b/>
          <w:i/>
          <w:sz w:val="20"/>
        </w:rPr>
        <w:t>C.  Research Gap</w:t>
      </w:r>
    </w:p>
    <w:p>
      <w:pPr>
        <w:spacing w:before="0" w:after="80"/>
        <w:ind w:firstLine="288"/>
        <w:jc w:val="both"/>
      </w:pPr>
      <w:r>
        <w:rPr>
          <w:rFonts w:ascii="Times New Roman" w:hAnsi="Times New Roman"/>
          <w:b w:val="0"/>
          <w:i w:val="0"/>
          <w:sz w:val="20"/>
        </w:rPr>
        <w:t>No existing work simultaneously addresses: (i) real-time ML-based edge trust prediction, (ii) formal integration into a multi-objective scheduler, (iii) adaptive cloud escalation under combined adversarial conditions, and (iv) evaluation across six structured scenarios with overhead and utilisation metrics. TAHTO addresses all four dimensions.</w:t>
      </w:r>
    </w:p>
    <w:p>
      <w:pPr>
        <w:spacing w:before="180" w:after="80"/>
        <w:jc w:val="left"/>
      </w:pPr>
      <w:r>
        <w:rPr>
          <w:rFonts w:ascii="Times New Roman" w:hAnsi="Times New Roman"/>
          <w:b/>
          <w:i w:val="0"/>
          <w:sz w:val="20"/>
        </w:rPr>
        <w:t>III.  Threat Model</w:t>
      </w:r>
    </w:p>
    <w:p>
      <w:pPr>
        <w:spacing w:before="0" w:after="80"/>
        <w:ind w:firstLine="288"/>
        <w:jc w:val="both"/>
      </w:pPr>
      <w:r>
        <w:rPr>
          <w:rFonts w:ascii="Times New Roman" w:hAnsi="Times New Roman"/>
          <w:b w:val="0"/>
          <w:i w:val="0"/>
          <w:sz w:val="20"/>
        </w:rPr>
        <w:t>We consider an IoMT edge-cloud environment with M=50 IoMT devices offloading to N=5 heterogeneous edge nodes. The adversary controls at most 2 of 5 nodes and may execute any of the attack types in Table I. The cloud server is assumed unconditionally trusted. TAHTO defends against compromised edge nodes; transmission-layer attacks are out of scope.</w:t>
      </w:r>
    </w:p>
    <w:p>
      <w:pPr>
        <w:spacing w:before="160" w:after="60"/>
        <w:jc w:val="center"/>
      </w:pPr>
      <w:r>
        <w:rPr>
          <w:rFonts w:ascii="Times New Roman" w:hAnsi="Times New Roman"/>
          <w:b/>
          <w:i w:val="0"/>
          <w:sz w:val="16"/>
        </w:rPr>
        <w:t>TABLE I.  Modelled Attack Types and Observable Signals</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1464"/>
            <w:vAlign w:val="center"/>
          </w:tcPr>
          <w:p>
            <w:pPr>
              <w:jc w:val="center"/>
            </w:pPr>
            <w:r>
              <w:rPr>
                <w:rFonts w:ascii="Times New Roman" w:hAnsi="Times New Roman"/>
                <w:b/>
                <w:sz w:val="16"/>
              </w:rPr>
              <w:t>Attack Type</w:t>
            </w:r>
          </w:p>
        </w:tc>
        <w:tc>
          <w:tcPr>
            <w:tcW w:type="dxa" w:w="1464"/>
            <w:vAlign w:val="center"/>
          </w:tcPr>
          <w:p>
            <w:pPr>
              <w:jc w:val="center"/>
            </w:pPr>
            <w:r>
              <w:rPr>
                <w:rFonts w:ascii="Times New Roman" w:hAnsi="Times New Roman"/>
                <w:b/>
                <w:sz w:val="16"/>
              </w:rPr>
              <w:t>Node Behaviour</w:t>
            </w:r>
          </w:p>
        </w:tc>
        <w:tc>
          <w:tcPr>
            <w:tcW w:type="dxa" w:w="1464"/>
            <w:vAlign w:val="center"/>
          </w:tcPr>
          <w:p>
            <w:pPr>
              <w:jc w:val="center"/>
            </w:pPr>
            <w:r>
              <w:rPr>
                <w:rFonts w:ascii="Times New Roman" w:hAnsi="Times New Roman"/>
                <w:b/>
                <w:sz w:val="16"/>
              </w:rPr>
              <w:t>Observable Feature</w:t>
            </w:r>
          </w:p>
        </w:tc>
      </w:tr>
      <w:tr>
        <w:tc>
          <w:tcPr>
            <w:tcW w:type="dxa" w:w="1464"/>
            <w:vAlign w:val="center"/>
          </w:tcPr>
          <w:p>
            <w:pPr>
              <w:jc w:val="center"/>
            </w:pPr>
            <w:r>
              <w:rPr>
                <w:rFonts w:ascii="Times New Roman" w:hAnsi="Times New Roman"/>
                <w:sz w:val="16"/>
              </w:rPr>
              <w:t>Byzantine Failure</w:t>
            </w:r>
          </w:p>
        </w:tc>
        <w:tc>
          <w:tcPr>
            <w:tcW w:type="dxa" w:w="1464"/>
            <w:vAlign w:val="center"/>
          </w:tcPr>
          <w:p>
            <w:pPr>
              <w:jc w:val="left"/>
            </w:pPr>
            <w:r>
              <w:rPr>
                <w:rFonts w:ascii="Times New Roman" w:hAnsi="Times New Roman"/>
                <w:sz w:val="16"/>
              </w:rPr>
              <w:t>Wrong results while appearing operational</w:t>
            </w:r>
          </w:p>
        </w:tc>
        <w:tc>
          <w:tcPr>
            <w:tcW w:type="dxa" w:w="1464"/>
            <w:vAlign w:val="center"/>
          </w:tcPr>
          <w:p>
            <w:pPr>
              <w:jc w:val="left"/>
            </w:pPr>
            <w:r>
              <w:rPr>
                <w:rFonts w:ascii="Times New Roman" w:hAnsi="Times New Roman"/>
                <w:sz w:val="16"/>
              </w:rPr>
              <w:t>High failure rate; anomalous CPU pattern</w:t>
            </w:r>
          </w:p>
        </w:tc>
      </w:tr>
      <w:tr>
        <w:tc>
          <w:tcPr>
            <w:tcW w:type="dxa" w:w="1464"/>
            <w:vAlign w:val="center"/>
          </w:tcPr>
          <w:p>
            <w:pPr>
              <w:jc w:val="center"/>
            </w:pPr>
            <w:r>
              <w:rPr>
                <w:rFonts w:ascii="Times New Roman" w:hAnsi="Times New Roman"/>
                <w:sz w:val="16"/>
              </w:rPr>
              <w:t>Node Spoofing</w:t>
            </w:r>
          </w:p>
        </w:tc>
        <w:tc>
          <w:tcPr>
            <w:tcW w:type="dxa" w:w="1464"/>
            <w:vAlign w:val="center"/>
          </w:tcPr>
          <w:p>
            <w:pPr>
              <w:jc w:val="left"/>
            </w:pPr>
            <w:r>
              <w:rPr>
                <w:rFonts w:ascii="Times New Roman" w:hAnsi="Times New Roman"/>
                <w:sz w:val="16"/>
              </w:rPr>
              <w:t>Malicious node mimics legitimate identity</w:t>
            </w:r>
          </w:p>
        </w:tc>
        <w:tc>
          <w:tcPr>
            <w:tcW w:type="dxa" w:w="1464"/>
            <w:vAlign w:val="center"/>
          </w:tcPr>
          <w:p>
            <w:pPr>
              <w:jc w:val="left"/>
            </w:pPr>
            <w:r>
              <w:rPr>
                <w:rFonts w:ascii="Times New Roman" w:hAnsi="Times New Roman"/>
                <w:sz w:val="16"/>
              </w:rPr>
              <w:t>Authentication failures; latency spikes</w:t>
            </w:r>
          </w:p>
        </w:tc>
      </w:tr>
      <w:tr>
        <w:tc>
          <w:tcPr>
            <w:tcW w:type="dxa" w:w="1464"/>
            <w:vAlign w:val="center"/>
          </w:tcPr>
          <w:p>
            <w:pPr>
              <w:jc w:val="center"/>
            </w:pPr>
            <w:r>
              <w:rPr>
                <w:rFonts w:ascii="Times New Roman" w:hAnsi="Times New Roman"/>
                <w:sz w:val="16"/>
              </w:rPr>
              <w:t>Data Injection</w:t>
            </w:r>
          </w:p>
        </w:tc>
        <w:tc>
          <w:tcPr>
            <w:tcW w:type="dxa" w:w="1464"/>
            <w:vAlign w:val="center"/>
          </w:tcPr>
          <w:p>
            <w:pPr>
              <w:jc w:val="left"/>
            </w:pPr>
            <w:r>
              <w:rPr>
                <w:rFonts w:ascii="Times New Roman" w:hAnsi="Times New Roman"/>
                <w:sz w:val="16"/>
              </w:rPr>
              <w:t>Silently corrupts task outputs</w:t>
            </w:r>
          </w:p>
        </w:tc>
        <w:tc>
          <w:tcPr>
            <w:tcW w:type="dxa" w:w="1464"/>
            <w:vAlign w:val="center"/>
          </w:tcPr>
          <w:p>
            <w:pPr>
              <w:jc w:val="left"/>
            </w:pPr>
            <w:r>
              <w:rPr>
                <w:rFonts w:ascii="Times New Roman" w:hAnsi="Times New Roman"/>
                <w:sz w:val="16"/>
              </w:rPr>
              <w:t>Elevated IDS alerts; bad checksums</w:t>
            </w:r>
          </w:p>
        </w:tc>
      </w:tr>
      <w:tr>
        <w:tc>
          <w:tcPr>
            <w:tcW w:type="dxa" w:w="1464"/>
            <w:vAlign w:val="center"/>
          </w:tcPr>
          <w:p>
            <w:pPr>
              <w:jc w:val="center"/>
            </w:pPr>
            <w:r>
              <w:rPr>
                <w:rFonts w:ascii="Times New Roman" w:hAnsi="Times New Roman"/>
                <w:sz w:val="16"/>
              </w:rPr>
              <w:t>Resource Exhaustion</w:t>
            </w:r>
          </w:p>
        </w:tc>
        <w:tc>
          <w:tcPr>
            <w:tcW w:type="dxa" w:w="1464"/>
            <w:vAlign w:val="center"/>
          </w:tcPr>
          <w:p>
            <w:pPr>
              <w:jc w:val="left"/>
            </w:pPr>
            <w:r>
              <w:rPr>
                <w:rFonts w:ascii="Times New Roman" w:hAnsi="Times New Roman"/>
                <w:sz w:val="16"/>
              </w:rPr>
              <w:t>Floods node to deny service</w:t>
            </w:r>
          </w:p>
        </w:tc>
        <w:tc>
          <w:tcPr>
            <w:tcW w:type="dxa" w:w="1464"/>
            <w:vAlign w:val="center"/>
          </w:tcPr>
          <w:p>
            <w:pPr>
              <w:jc w:val="left"/>
            </w:pPr>
            <w:r>
              <w:rPr>
                <w:rFonts w:ascii="Times New Roman" w:hAnsi="Times New Roman"/>
                <w:sz w:val="16"/>
              </w:rPr>
              <w:t>Queue saturation; packet loss spike</w:t>
            </w:r>
          </w:p>
        </w:tc>
      </w:tr>
    </w:tbl>
    <w:p>
      <w:pPr>
        <w:spacing w:before="0" w:after="120"/>
        <w:ind w:firstLine="288"/>
        <w:jc w:val="both"/>
      </w:pPr>
    </w:p>
    <w:p>
      <w:pPr>
        <w:spacing w:before="180" w:after="80"/>
        <w:jc w:val="left"/>
      </w:pPr>
      <w:r>
        <w:rPr>
          <w:rFonts w:ascii="Times New Roman" w:hAnsi="Times New Roman"/>
          <w:b/>
          <w:i w:val="0"/>
          <w:sz w:val="20"/>
        </w:rPr>
        <w:t>IV.  System Architecture</w:t>
      </w:r>
    </w:p>
    <w:p>
      <w:pPr>
        <w:spacing w:before="0" w:after="80"/>
        <w:ind w:firstLine="288"/>
        <w:jc w:val="both"/>
      </w:pPr>
      <w:r>
        <w:rPr>
          <w:rFonts w:ascii="Times New Roman" w:hAnsi="Times New Roman"/>
          <w:b w:val="0"/>
          <w:i w:val="0"/>
          <w:sz w:val="20"/>
        </w:rPr>
        <w:t>TAHTO operates across a three-layer hierarchy. Layer 1 — IoMT Device Layer: Wearable sensors and medical monitors generate tasks characterised by data size d_i (KB), CPU cycles c_i, deadline τ_i (ms), and sensitivity s_i ∈ {Low, Medium, High}. Layer 2 — Edge Computing Layer: Five heterogeneous nodes expose real-time telemetry (Table II). The Trust Prediction Engine produces trust score T(n) ∈ [0,1] per node; the Hybrid Task Scheduler integrates trust scores with latency, energy, and QoS. Layer 3 — Cloud Layer: High-capacity cloud server with fixed L_cloud = 100 ms serves as the safe escalation target.</w:t>
      </w:r>
    </w:p>
    <w:p>
      <w:pPr>
        <w:spacing w:before="160" w:after="60"/>
        <w:jc w:val="center"/>
      </w:pPr>
      <w:r>
        <w:rPr>
          <w:rFonts w:ascii="Times New Roman" w:hAnsi="Times New Roman"/>
          <w:b/>
          <w:i w:val="0"/>
          <w:sz w:val="16"/>
        </w:rPr>
        <w:t>TABLE II.  9-Feature Trust Telemetry Vector (per Edge Node)</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1464"/>
            <w:vAlign w:val="center"/>
          </w:tcPr>
          <w:p>
            <w:pPr>
              <w:jc w:val="center"/>
            </w:pPr>
            <w:r>
              <w:rPr>
                <w:rFonts w:ascii="Times New Roman" w:hAnsi="Times New Roman"/>
                <w:b/>
                <w:sz w:val="16"/>
              </w:rPr>
              <w:t>#</w:t>
            </w:r>
          </w:p>
        </w:tc>
        <w:tc>
          <w:tcPr>
            <w:tcW w:type="dxa" w:w="1464"/>
            <w:vAlign w:val="center"/>
          </w:tcPr>
          <w:p>
            <w:pPr>
              <w:jc w:val="center"/>
            </w:pPr>
            <w:r>
              <w:rPr>
                <w:rFonts w:ascii="Times New Roman" w:hAnsi="Times New Roman"/>
                <w:b/>
                <w:sz w:val="16"/>
              </w:rPr>
              <w:t>Feature</w:t>
            </w:r>
          </w:p>
        </w:tc>
        <w:tc>
          <w:tcPr>
            <w:tcW w:type="dxa" w:w="1464"/>
            <w:vAlign w:val="center"/>
          </w:tcPr>
          <w:p>
            <w:pPr>
              <w:jc w:val="center"/>
            </w:pPr>
            <w:r>
              <w:rPr>
                <w:rFonts w:ascii="Times New Roman" w:hAnsi="Times New Roman"/>
                <w:b/>
                <w:sz w:val="16"/>
              </w:rPr>
              <w:t>Description</w:t>
            </w:r>
          </w:p>
        </w:tc>
      </w:tr>
      <w:tr>
        <w:tc>
          <w:tcPr>
            <w:tcW w:type="dxa" w:w="1464"/>
            <w:vAlign w:val="center"/>
          </w:tcPr>
          <w:p>
            <w:pPr>
              <w:jc w:val="center"/>
            </w:pPr>
            <w:r>
              <w:rPr>
                <w:rFonts w:ascii="Times New Roman" w:hAnsi="Times New Roman"/>
                <w:sz w:val="16"/>
              </w:rPr>
              <w:t>1</w:t>
            </w:r>
          </w:p>
        </w:tc>
        <w:tc>
          <w:tcPr>
            <w:tcW w:type="dxa" w:w="1464"/>
            <w:vAlign w:val="center"/>
          </w:tcPr>
          <w:p>
            <w:pPr>
              <w:jc w:val="left"/>
            </w:pPr>
            <w:r>
              <w:rPr>
                <w:rFonts w:ascii="Times New Roman" w:hAnsi="Times New Roman"/>
                <w:sz w:val="16"/>
              </w:rPr>
              <w:t>CPU Utilisation</w:t>
            </w:r>
          </w:p>
        </w:tc>
        <w:tc>
          <w:tcPr>
            <w:tcW w:type="dxa" w:w="1464"/>
            <w:vAlign w:val="center"/>
          </w:tcPr>
          <w:p>
            <w:pPr>
              <w:jc w:val="left"/>
            </w:pPr>
            <w:r>
              <w:rPr>
                <w:rFonts w:ascii="Times New Roman" w:hAnsi="Times New Roman"/>
                <w:sz w:val="16"/>
              </w:rPr>
              <w:t>Current CPU load (%)</w:t>
            </w:r>
          </w:p>
        </w:tc>
      </w:tr>
      <w:tr>
        <w:tc>
          <w:tcPr>
            <w:tcW w:type="dxa" w:w="1464"/>
            <w:vAlign w:val="center"/>
          </w:tcPr>
          <w:p>
            <w:pPr>
              <w:jc w:val="center"/>
            </w:pPr>
            <w:r>
              <w:rPr>
                <w:rFonts w:ascii="Times New Roman" w:hAnsi="Times New Roman"/>
                <w:sz w:val="16"/>
              </w:rPr>
              <w:t>2</w:t>
            </w:r>
          </w:p>
        </w:tc>
        <w:tc>
          <w:tcPr>
            <w:tcW w:type="dxa" w:w="1464"/>
            <w:vAlign w:val="center"/>
          </w:tcPr>
          <w:p>
            <w:pPr>
              <w:jc w:val="left"/>
            </w:pPr>
            <w:r>
              <w:rPr>
                <w:rFonts w:ascii="Times New Roman" w:hAnsi="Times New Roman"/>
                <w:sz w:val="16"/>
              </w:rPr>
              <w:t>Memory Utilisation</w:t>
            </w:r>
          </w:p>
        </w:tc>
        <w:tc>
          <w:tcPr>
            <w:tcW w:type="dxa" w:w="1464"/>
            <w:vAlign w:val="center"/>
          </w:tcPr>
          <w:p>
            <w:pPr>
              <w:jc w:val="left"/>
            </w:pPr>
            <w:r>
              <w:rPr>
                <w:rFonts w:ascii="Times New Roman" w:hAnsi="Times New Roman"/>
                <w:sz w:val="16"/>
              </w:rPr>
              <w:t>Current RAM usage (%)</w:t>
            </w:r>
          </w:p>
        </w:tc>
      </w:tr>
      <w:tr>
        <w:tc>
          <w:tcPr>
            <w:tcW w:type="dxa" w:w="1464"/>
            <w:vAlign w:val="center"/>
          </w:tcPr>
          <w:p>
            <w:pPr>
              <w:jc w:val="center"/>
            </w:pPr>
            <w:r>
              <w:rPr>
                <w:rFonts w:ascii="Times New Roman" w:hAnsi="Times New Roman"/>
                <w:sz w:val="16"/>
              </w:rPr>
              <w:t>3</w:t>
            </w:r>
          </w:p>
        </w:tc>
        <w:tc>
          <w:tcPr>
            <w:tcW w:type="dxa" w:w="1464"/>
            <w:vAlign w:val="center"/>
          </w:tcPr>
          <w:p>
            <w:pPr>
              <w:jc w:val="left"/>
            </w:pPr>
            <w:r>
              <w:rPr>
                <w:rFonts w:ascii="Times New Roman" w:hAnsi="Times New Roman"/>
                <w:sz w:val="16"/>
              </w:rPr>
              <w:t>Queue Length</w:t>
            </w:r>
          </w:p>
        </w:tc>
        <w:tc>
          <w:tcPr>
            <w:tcW w:type="dxa" w:w="1464"/>
            <w:vAlign w:val="center"/>
          </w:tcPr>
          <w:p>
            <w:pPr>
              <w:jc w:val="left"/>
            </w:pPr>
            <w:r>
              <w:rPr>
                <w:rFonts w:ascii="Times New Roman" w:hAnsi="Times New Roman"/>
                <w:sz w:val="16"/>
              </w:rPr>
              <w:t>Pending task count</w:t>
            </w:r>
          </w:p>
        </w:tc>
      </w:tr>
      <w:tr>
        <w:tc>
          <w:tcPr>
            <w:tcW w:type="dxa" w:w="1464"/>
            <w:vAlign w:val="center"/>
          </w:tcPr>
          <w:p>
            <w:pPr>
              <w:jc w:val="center"/>
            </w:pPr>
            <w:r>
              <w:rPr>
                <w:rFonts w:ascii="Times New Roman" w:hAnsi="Times New Roman"/>
                <w:sz w:val="16"/>
              </w:rPr>
              <w:t>4</w:t>
            </w:r>
          </w:p>
        </w:tc>
        <w:tc>
          <w:tcPr>
            <w:tcW w:type="dxa" w:w="1464"/>
            <w:vAlign w:val="center"/>
          </w:tcPr>
          <w:p>
            <w:pPr>
              <w:jc w:val="left"/>
            </w:pPr>
            <w:r>
              <w:rPr>
                <w:rFonts w:ascii="Times New Roman" w:hAnsi="Times New Roman"/>
                <w:sz w:val="16"/>
              </w:rPr>
              <w:t>Network Latency</w:t>
            </w:r>
          </w:p>
        </w:tc>
        <w:tc>
          <w:tcPr>
            <w:tcW w:type="dxa" w:w="1464"/>
            <w:vAlign w:val="center"/>
          </w:tcPr>
          <w:p>
            <w:pPr>
              <w:jc w:val="left"/>
            </w:pPr>
            <w:r>
              <w:rPr>
                <w:rFonts w:ascii="Times New Roman" w:hAnsi="Times New Roman"/>
                <w:sz w:val="16"/>
              </w:rPr>
              <w:t>Round-trip latency to controller (ms)</w:t>
            </w:r>
          </w:p>
        </w:tc>
      </w:tr>
      <w:tr>
        <w:tc>
          <w:tcPr>
            <w:tcW w:type="dxa" w:w="1464"/>
            <w:vAlign w:val="center"/>
          </w:tcPr>
          <w:p>
            <w:pPr>
              <w:jc w:val="center"/>
            </w:pPr>
            <w:r>
              <w:rPr>
                <w:rFonts w:ascii="Times New Roman" w:hAnsi="Times New Roman"/>
                <w:sz w:val="16"/>
              </w:rPr>
              <w:t>5</w:t>
            </w:r>
          </w:p>
        </w:tc>
        <w:tc>
          <w:tcPr>
            <w:tcW w:type="dxa" w:w="1464"/>
            <w:vAlign w:val="center"/>
          </w:tcPr>
          <w:p>
            <w:pPr>
              <w:jc w:val="left"/>
            </w:pPr>
            <w:r>
              <w:rPr>
                <w:rFonts w:ascii="Times New Roman" w:hAnsi="Times New Roman"/>
                <w:sz w:val="16"/>
              </w:rPr>
              <w:t>Packet Loss Rate</w:t>
            </w:r>
          </w:p>
        </w:tc>
        <w:tc>
          <w:tcPr>
            <w:tcW w:type="dxa" w:w="1464"/>
            <w:vAlign w:val="center"/>
          </w:tcPr>
          <w:p>
            <w:pPr>
              <w:jc w:val="left"/>
            </w:pPr>
            <w:r>
              <w:rPr>
                <w:rFonts w:ascii="Times New Roman" w:hAnsi="Times New Roman"/>
                <w:sz w:val="16"/>
              </w:rPr>
              <w:t>% packets dropped in last window</w:t>
            </w:r>
          </w:p>
        </w:tc>
      </w:tr>
      <w:tr>
        <w:tc>
          <w:tcPr>
            <w:tcW w:type="dxa" w:w="1464"/>
            <w:vAlign w:val="center"/>
          </w:tcPr>
          <w:p>
            <w:pPr>
              <w:jc w:val="center"/>
            </w:pPr>
            <w:r>
              <w:rPr>
                <w:rFonts w:ascii="Times New Roman" w:hAnsi="Times New Roman"/>
                <w:sz w:val="16"/>
              </w:rPr>
              <w:t>6</w:t>
            </w:r>
          </w:p>
        </w:tc>
        <w:tc>
          <w:tcPr>
            <w:tcW w:type="dxa" w:w="1464"/>
            <w:vAlign w:val="center"/>
          </w:tcPr>
          <w:p>
            <w:pPr>
              <w:jc w:val="left"/>
            </w:pPr>
            <w:r>
              <w:rPr>
                <w:rFonts w:ascii="Times New Roman" w:hAnsi="Times New Roman"/>
                <w:sz w:val="16"/>
              </w:rPr>
              <w:t>Auth Status</w:t>
            </w:r>
          </w:p>
        </w:tc>
        <w:tc>
          <w:tcPr>
            <w:tcW w:type="dxa" w:w="1464"/>
            <w:vAlign w:val="center"/>
          </w:tcPr>
          <w:p>
            <w:pPr>
              <w:jc w:val="left"/>
            </w:pPr>
            <w:r>
              <w:rPr>
                <w:rFonts w:ascii="Times New Roman" w:hAnsi="Times New Roman"/>
                <w:sz w:val="16"/>
              </w:rPr>
              <w:t>Binary: 0=failed / 1=authenticated</w:t>
            </w:r>
          </w:p>
        </w:tc>
      </w:tr>
      <w:tr>
        <w:tc>
          <w:tcPr>
            <w:tcW w:type="dxa" w:w="1464"/>
            <w:vAlign w:val="center"/>
          </w:tcPr>
          <w:p>
            <w:pPr>
              <w:jc w:val="center"/>
            </w:pPr>
            <w:r>
              <w:rPr>
                <w:rFonts w:ascii="Times New Roman" w:hAnsi="Times New Roman"/>
                <w:sz w:val="16"/>
              </w:rPr>
              <w:t>7</w:t>
            </w:r>
          </w:p>
        </w:tc>
        <w:tc>
          <w:tcPr>
            <w:tcW w:type="dxa" w:w="1464"/>
            <w:vAlign w:val="center"/>
          </w:tcPr>
          <w:p>
            <w:pPr>
              <w:jc w:val="left"/>
            </w:pPr>
            <w:r>
              <w:rPr>
                <w:rFonts w:ascii="Times New Roman" w:hAnsi="Times New Roman"/>
                <w:sz w:val="16"/>
              </w:rPr>
              <w:t>Task Success Rate</w:t>
            </w:r>
          </w:p>
        </w:tc>
        <w:tc>
          <w:tcPr>
            <w:tcW w:type="dxa" w:w="1464"/>
            <w:vAlign w:val="center"/>
          </w:tcPr>
          <w:p>
            <w:pPr>
              <w:jc w:val="left"/>
            </w:pPr>
            <w:r>
              <w:rPr>
                <w:rFonts w:ascii="Times New Roman" w:hAnsi="Times New Roman"/>
                <w:sz w:val="16"/>
              </w:rPr>
              <w:t>% tasks completed correctly (rolling)</w:t>
            </w:r>
          </w:p>
        </w:tc>
      </w:tr>
      <w:tr>
        <w:tc>
          <w:tcPr>
            <w:tcW w:type="dxa" w:w="1464"/>
            <w:vAlign w:val="center"/>
          </w:tcPr>
          <w:p>
            <w:pPr>
              <w:jc w:val="center"/>
            </w:pPr>
            <w:r>
              <w:rPr>
                <w:rFonts w:ascii="Times New Roman" w:hAnsi="Times New Roman"/>
                <w:sz w:val="16"/>
              </w:rPr>
              <w:t>8</w:t>
            </w:r>
          </w:p>
        </w:tc>
        <w:tc>
          <w:tcPr>
            <w:tcW w:type="dxa" w:w="1464"/>
            <w:vAlign w:val="center"/>
          </w:tcPr>
          <w:p>
            <w:pPr>
              <w:jc w:val="left"/>
            </w:pPr>
            <w:r>
              <w:rPr>
                <w:rFonts w:ascii="Times New Roman" w:hAnsi="Times New Roman"/>
                <w:sz w:val="16"/>
              </w:rPr>
              <w:t>IDS Alert Count</w:t>
            </w:r>
          </w:p>
        </w:tc>
        <w:tc>
          <w:tcPr>
            <w:tcW w:type="dxa" w:w="1464"/>
            <w:vAlign w:val="center"/>
          </w:tcPr>
          <w:p>
            <w:pPr>
              <w:jc w:val="left"/>
            </w:pPr>
            <w:r>
              <w:rPr>
                <w:rFonts w:ascii="Times New Roman" w:hAnsi="Times New Roman"/>
                <w:sz w:val="16"/>
              </w:rPr>
              <w:t>Alerts in current monitoring window</w:t>
            </w:r>
          </w:p>
        </w:tc>
      </w:tr>
      <w:tr>
        <w:tc>
          <w:tcPr>
            <w:tcW w:type="dxa" w:w="1464"/>
            <w:vAlign w:val="center"/>
          </w:tcPr>
          <w:p>
            <w:pPr>
              <w:jc w:val="center"/>
            </w:pPr>
            <w:r>
              <w:rPr>
                <w:rFonts w:ascii="Times New Roman" w:hAnsi="Times New Roman"/>
                <w:sz w:val="16"/>
              </w:rPr>
              <w:t>9</w:t>
            </w:r>
          </w:p>
        </w:tc>
        <w:tc>
          <w:tcPr>
            <w:tcW w:type="dxa" w:w="1464"/>
            <w:vAlign w:val="center"/>
          </w:tcPr>
          <w:p>
            <w:pPr>
              <w:jc w:val="left"/>
            </w:pPr>
            <w:r>
              <w:rPr>
                <w:rFonts w:ascii="Times New Roman" w:hAnsi="Times New Roman"/>
                <w:sz w:val="16"/>
              </w:rPr>
              <w:t>Node Availability</w:t>
            </w:r>
          </w:p>
        </w:tc>
        <w:tc>
          <w:tcPr>
            <w:tcW w:type="dxa" w:w="1464"/>
            <w:vAlign w:val="center"/>
          </w:tcPr>
          <w:p>
            <w:pPr>
              <w:jc w:val="left"/>
            </w:pPr>
            <w:r>
              <w:rPr>
                <w:rFonts w:ascii="Times New Roman" w:hAnsi="Times New Roman"/>
                <w:sz w:val="16"/>
              </w:rPr>
              <w:t>Uptime ratio over last period</w:t>
            </w:r>
          </w:p>
        </w:tc>
      </w:tr>
    </w:tbl>
    <w:p>
      <w:pPr>
        <w:spacing w:before="0" w:after="120"/>
        <w:ind w:firstLine="288"/>
        <w:jc w:val="both"/>
      </w:pP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3489820"/>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943600" cy="3489820"/>
                    </a:xfrm>
                    <a:prstGeom prst="rect"/>
                  </pic:spPr>
                </pic:pic>
              </a:graphicData>
            </a:graphic>
          </wp:inline>
        </w:drawing>
      </w:r>
    </w:p>
    <w:p>
      <w:pPr>
        <w:spacing w:before="40" w:after="160"/>
        <w:jc w:val="center"/>
      </w:pPr>
      <w:r>
        <w:rPr>
          <w:rFonts w:ascii="Times New Roman" w:hAnsi="Times New Roman"/>
          <w:b w:val="0"/>
          <w:i/>
          <w:sz w:val="18"/>
        </w:rPr>
        <w:t>Fig. 1.  TAHTO architecture. The trust engine continuously scores edge nodes; the scheduler uses a trust gate and escalates tasks only when safe edge execution is unavailable.</w:t>
      </w:r>
    </w:p>
    <w:p>
      <w:pPr>
        <w:sectPr>
          <w:type w:val="continuous"/>
          <w:pgSz w:w="12240" w:h="15840"/>
          <w:pgMar w:top="1080" w:right="900" w:bottom="1440" w:left="900" w:header="720" w:footer="720" w:gutter="0"/>
          <w:docGrid w:linePitch="360"/>
          <w:cols w:num="1"/>
        </w:sectPr>
      </w:pPr>
    </w:p>
    <w:p>
      <w:pPr>
        <w:spacing w:before="180" w:after="80"/>
        <w:jc w:val="left"/>
      </w:pPr>
      <w:r>
        <w:rPr>
          <w:rFonts w:ascii="Times New Roman" w:hAnsi="Times New Roman"/>
          <w:b/>
          <w:i w:val="0"/>
          <w:sz w:val="20"/>
        </w:rPr>
        <w:t>V.  Proposed Methodology</w:t>
      </w:r>
    </w:p>
    <w:p>
      <w:pPr>
        <w:spacing w:before="120" w:after="40"/>
        <w:jc w:val="left"/>
      </w:pPr>
      <w:r>
        <w:rPr>
          <w:rFonts w:ascii="Times New Roman" w:hAnsi="Times New Roman"/>
          <w:b/>
          <w:i/>
          <w:sz w:val="20"/>
        </w:rPr>
        <w:t>A.  Trust Prediction Model</w:t>
      </w:r>
    </w:p>
    <w:p>
      <w:pPr>
        <w:spacing w:before="0" w:after="80"/>
        <w:ind w:firstLine="288"/>
        <w:jc w:val="both"/>
      </w:pPr>
      <w:r>
        <w:rPr>
          <w:rFonts w:ascii="Times New Roman" w:hAnsi="Times New Roman"/>
          <w:b w:val="0"/>
          <w:i w:val="0"/>
          <w:sz w:val="20"/>
        </w:rPr>
        <w:t>An XGBoost classifier (n_estimators=100, max_depth=4, scale_pos_weight=5) is initially fitted using a separate historical synthetic telemetry window with both trusted and compromised node examples. Feature distributions intentionally overlap (stressed legitimate nodes and stealthy attackers). At every monitoring window, TAHTO first evaluates the current model on previously unseen telemetry, then retrains only on telemetry from completed windows. Each CV fold includes its own scaler, avoiding preprocessing leakage. Results therefore measure model performance only within this synthetic simulation, not clinical deployment performance.</w:t>
      </w:r>
    </w:p>
    <w:p>
      <w:pPr>
        <w:spacing w:before="120" w:after="40"/>
        <w:jc w:val="left"/>
      </w:pPr>
      <w:r>
        <w:rPr>
          <w:rFonts w:ascii="Times New Roman" w:hAnsi="Times New Roman"/>
          <w:b/>
          <w:i/>
          <w:sz w:val="20"/>
        </w:rPr>
        <w:t>B.  Composite Scheduling Objective</w:t>
      </w:r>
    </w:p>
    <w:p>
      <w:pPr>
        <w:spacing w:before="0" w:after="80"/>
        <w:ind w:firstLine="288"/>
        <w:jc w:val="both"/>
      </w:pPr>
      <w:r>
        <w:rPr>
          <w:rFonts w:ascii="Times New Roman" w:hAnsi="Times New Roman"/>
          <w:b w:val="0"/>
          <w:i w:val="0"/>
          <w:sz w:val="20"/>
        </w:rPr>
        <w:t>For each arriving task i, the composite score for assigning to edge node n is:</w:t>
      </w:r>
    </w:p>
    <w:p>
      <w:pPr>
        <w:spacing w:before="60" w:after="60"/>
        <w:jc w:val="center"/>
      </w:pPr>
      <w:r>
        <w:rPr>
          <w:rFonts w:ascii="Courier New" w:hAnsi="Courier New"/>
          <w:b w:val="0"/>
          <w:i w:val="0"/>
          <w:sz w:val="18"/>
        </w:rPr>
        <w:t>Score(i,n) = α·(1/Lat(i,n)) + β·(1/Eng(i,n)) + γ·QoS(i,n) + δ·T(n)</w:t>
      </w:r>
    </w:p>
    <w:p>
      <w:pPr>
        <w:spacing w:before="0" w:after="80"/>
        <w:ind w:firstLine="288"/>
        <w:jc w:val="both"/>
      </w:pPr>
      <w:r>
        <w:rPr>
          <w:rFonts w:ascii="Times New Roman" w:hAnsi="Times New Roman"/>
          <w:b w:val="0"/>
          <w:i w:val="0"/>
          <w:sz w:val="20"/>
        </w:rPr>
        <w:t>with α=0.30 (latency), β=0.20 (energy), γ=0.20 (QoS), δ=0.30 (trust), α+β+γ+δ=1. Components:</w:t>
      </w:r>
    </w:p>
    <w:p>
      <w:pPr>
        <w:spacing w:before="60" w:after="60"/>
        <w:jc w:val="center"/>
      </w:pPr>
      <w:r>
        <w:rPr>
          <w:rFonts w:ascii="Courier New" w:hAnsi="Courier New"/>
          <w:b w:val="0"/>
          <w:i w:val="0"/>
          <w:sz w:val="18"/>
        </w:rPr>
        <w:t>Lat(i,n) = T_tx + T_queue + T_proc</w:t>
      </w:r>
    </w:p>
    <w:p>
      <w:pPr>
        <w:spacing w:before="60" w:after="60"/>
        <w:jc w:val="center"/>
      </w:pPr>
      <w:r>
        <w:rPr>
          <w:rFonts w:ascii="Courier New" w:hAnsi="Courier New"/>
          <w:b w:val="0"/>
          <w:i w:val="0"/>
          <w:sz w:val="18"/>
        </w:rPr>
        <w:t>Eng(i,n) = P_t·t_i + η·(t_i/B)² + E_idle·φ</w:t>
      </w:r>
    </w:p>
    <w:p>
      <w:pPr>
        <w:spacing w:before="60" w:after="60"/>
        <w:jc w:val="center"/>
      </w:pPr>
      <w:r>
        <w:rPr>
          <w:rFonts w:ascii="Courier New" w:hAnsi="Courier New"/>
          <w:b w:val="0"/>
          <w:i w:val="0"/>
          <w:sz w:val="18"/>
        </w:rPr>
        <w:t>QoS(i,n) = 1.0  if Lat ≤ 0.70·τ_i</w:t>
      </w:r>
    </w:p>
    <w:p>
      <w:pPr>
        <w:spacing w:before="60" w:after="60"/>
        <w:jc w:val="center"/>
      </w:pPr>
      <w:r>
        <w:rPr>
          <w:rFonts w:ascii="Courier New" w:hAnsi="Courier New"/>
          <w:b w:val="0"/>
          <w:i w:val="0"/>
          <w:sz w:val="18"/>
        </w:rPr>
        <w:t xml:space="preserve">          = 0.7  if Lat ≤ τ_i   else 0.2</w:t>
      </w:r>
    </w:p>
    <w:p>
      <w:pPr>
        <w:spacing w:before="0" w:after="80"/>
        <w:ind w:firstLine="288"/>
        <w:jc w:val="both"/>
      </w:pPr>
      <w:r>
        <w:rPr>
          <w:rFonts w:ascii="Times New Roman" w:hAnsi="Times New Roman"/>
          <w:b w:val="0"/>
          <w:i w:val="0"/>
          <w:sz w:val="20"/>
        </w:rPr>
        <w:t>Node n* with the highest Score(i,n) is selected. Weight sensitivity is analysed in Section VI-F.</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247580"/>
            <wp:docPr id="2" name="Picture 2"/>
            <wp:cNvGraphicFramePr>
              <a:graphicFrameLocks noChangeAspect="1"/>
            </wp:cNvGraphicFramePr>
            <a:graphic>
              <a:graphicData uri="http://schemas.openxmlformats.org/drawingml/2006/picture">
                <pic:pic>
                  <pic:nvPicPr>
                    <pic:cNvPr id="0" name="fig_trust_pipeline.png"/>
                    <pic:cNvPicPr/>
                  </pic:nvPicPr>
                  <pic:blipFill>
                    <a:blip r:embed="rId10"/>
                    <a:stretch>
                      <a:fillRect/>
                    </a:stretch>
                  </pic:blipFill>
                  <pic:spPr>
                    <a:xfrm>
                      <a:off x="0" y="0"/>
                      <a:ext cx="5943600" cy="2247580"/>
                    </a:xfrm>
                    <a:prstGeom prst="rect"/>
                  </pic:spPr>
                </pic:pic>
              </a:graphicData>
            </a:graphic>
          </wp:inline>
        </w:drawing>
      </w:r>
    </w:p>
    <w:p>
      <w:pPr>
        <w:spacing w:before="40" w:after="160"/>
        <w:jc w:val="center"/>
      </w:pPr>
      <w:r>
        <w:rPr>
          <w:rFonts w:ascii="Times New Roman" w:hAnsi="Times New Roman"/>
          <w:b w:val="0"/>
          <w:i/>
          <w:sz w:val="18"/>
        </w:rPr>
        <w:t>Fig. 2.  Adaptive trust-prediction pipeline. The current window is evaluated before its completed telemetry is admitted to the next periodic model update.</w:t>
      </w:r>
    </w:p>
    <w:p>
      <w:pPr>
        <w:sectPr>
          <w:type w:val="continuous"/>
          <w:pgSz w:w="12240" w:h="15840"/>
          <w:pgMar w:top="1080" w:right="900" w:bottom="1440" w:left="900" w:header="720" w:footer="720" w:gutter="0"/>
          <w:docGrid w:linePitch="360"/>
          <w:cols w:num="1"/>
        </w:sectPr>
      </w:pPr>
    </w:p>
    <w:p>
      <w:pPr>
        <w:spacing w:before="120" w:after="40"/>
        <w:jc w:val="left"/>
      </w:pPr>
      <w:r>
        <w:rPr>
          <w:rFonts w:ascii="Times New Roman" w:hAnsi="Times New Roman"/>
          <w:b/>
          <w:i/>
          <w:sz w:val="20"/>
        </w:rPr>
        <w:t>C.  Trust Gate and Cloud Escalation Policy</w:t>
      </w:r>
    </w:p>
    <w:p>
      <w:pPr>
        <w:spacing w:before="0" w:after="80"/>
        <w:ind w:firstLine="288"/>
        <w:jc w:val="both"/>
      </w:pPr>
      <w:r>
        <w:rPr>
          <w:rFonts w:ascii="Times New Roman" w:hAnsi="Times New Roman"/>
          <w:b w:val="0"/>
          <w:i w:val="0"/>
          <w:sz w:val="20"/>
        </w:rPr>
        <w:t>Before composite scoring, each candidate node must pass a hard trust gate:</w:t>
      </w:r>
    </w:p>
    <w:p>
      <w:pPr>
        <w:spacing w:before="60" w:after="60"/>
        <w:jc w:val="center"/>
      </w:pPr>
      <w:r>
        <w:rPr>
          <w:rFonts w:ascii="Courier New" w:hAnsi="Courier New"/>
          <w:b w:val="0"/>
          <w:i w:val="0"/>
          <w:sz w:val="18"/>
        </w:rPr>
        <w:t>Exclude n  if  T(n) &lt; T_threshold  (default 0.50)</w:t>
      </w:r>
    </w:p>
    <w:p>
      <w:pPr>
        <w:spacing w:before="0" w:after="80"/>
        <w:ind w:firstLine="288"/>
        <w:jc w:val="both"/>
      </w:pPr>
      <w:r>
        <w:rPr>
          <w:rFonts w:ascii="Times New Roman" w:hAnsi="Times New Roman"/>
          <w:b w:val="0"/>
          <w:i w:val="0"/>
          <w:sz w:val="20"/>
        </w:rPr>
        <w:t>For High-sensitivity tasks, a stricter gate applies:</w:t>
      </w:r>
    </w:p>
    <w:p>
      <w:pPr>
        <w:spacing w:before="60" w:after="60"/>
        <w:jc w:val="center"/>
      </w:pPr>
      <w:r>
        <w:rPr>
          <w:rFonts w:ascii="Courier New" w:hAnsi="Courier New"/>
          <w:b w:val="0"/>
          <w:i w:val="0"/>
          <w:sz w:val="18"/>
        </w:rPr>
        <w:t>Exclude n  if  s_i = High  and  T(n) &lt; T_high  (0.70)</w:t>
      </w:r>
    </w:p>
    <w:p>
      <w:pPr>
        <w:spacing w:before="0" w:after="80"/>
        <w:ind w:firstLine="288"/>
        <w:jc w:val="both"/>
      </w:pPr>
      <w:r>
        <w:rPr>
          <w:rFonts w:ascii="Times New Roman" w:hAnsi="Times New Roman"/>
          <w:b w:val="0"/>
          <w:i w:val="0"/>
          <w:sz w:val="20"/>
        </w:rPr>
        <w:t>A task is escalated to the cloud if any condition holds: (1) no edge node passes the trust gate; (2) s_i = High and no node achieves T(n) &gt; 0.70; (3) all trusted candidates have queue_depth ≥ MAX_QUEUE_DEPTH (=8). Condition (3) prevents hot-spotting on the sole trusted node in S6.</w:t>
      </w:r>
    </w:p>
    <w:p>
      <w:pPr>
        <w:spacing w:before="180" w:after="80"/>
        <w:jc w:val="left"/>
      </w:pPr>
      <w:r>
        <w:rPr>
          <w:rFonts w:ascii="Times New Roman" w:hAnsi="Times New Roman"/>
          <w:b/>
          <w:i w:val="0"/>
          <w:sz w:val="20"/>
        </w:rPr>
        <w:t>VI.  Experimental Evaluation</w:t>
      </w:r>
    </w:p>
    <w:p>
      <w:pPr>
        <w:spacing w:before="120" w:after="40"/>
        <w:jc w:val="left"/>
      </w:pPr>
      <w:r>
        <w:rPr>
          <w:rFonts w:ascii="Times New Roman" w:hAnsi="Times New Roman"/>
          <w:b/>
          <w:i/>
          <w:sz w:val="20"/>
        </w:rPr>
        <w:t>A.  Simulation Setup</w:t>
      </w:r>
    </w:p>
    <w:p>
      <w:pPr>
        <w:spacing w:before="0" w:after="80"/>
        <w:ind w:firstLine="288"/>
        <w:jc w:val="both"/>
      </w:pPr>
      <w:r>
        <w:rPr>
          <w:rFonts w:ascii="Times New Roman" w:hAnsi="Times New Roman"/>
          <w:b w:val="0"/>
          <w:i w:val="0"/>
          <w:sz w:val="20"/>
        </w:rPr>
        <w:t>An event-based Python simulator models a common 500-task Poisson-arrival workload trace, N=5 heterogeneous edge nodes, variable bandwidth B ∈ {1, 5, 20, 100} Mbps, and one trusted cloud server (L_cloud=100 ms). Each scheduler receives the same trace within a seed; results report mean ± standard deviation over seeds 42, 123, and 2026. Four schedulers are compared: TAHTO (proposed), B1 (Performance-Only), B2 (historical Static Reputation), and B3 (Zero-Trust — always cloud).</w:t>
      </w:r>
    </w:p>
    <w:p>
      <w:pPr>
        <w:spacing w:before="160" w:after="60"/>
        <w:jc w:val="center"/>
      </w:pPr>
      <w:r>
        <w:rPr>
          <w:rFonts w:ascii="Times New Roman" w:hAnsi="Times New Roman"/>
          <w:b/>
          <w:i w:val="0"/>
          <w:sz w:val="16"/>
        </w:rPr>
        <w:t>TABLE III.  Six Evaluation Scenarios</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1464"/>
            <w:vAlign w:val="center"/>
          </w:tcPr>
          <w:p>
            <w:pPr>
              <w:jc w:val="center"/>
            </w:pPr>
            <w:r>
              <w:rPr>
                <w:rFonts w:ascii="Times New Roman" w:hAnsi="Times New Roman"/>
                <w:b/>
                <w:sz w:val="16"/>
              </w:rPr>
              <w:t>Scenario</w:t>
            </w:r>
          </w:p>
        </w:tc>
        <w:tc>
          <w:tcPr>
            <w:tcW w:type="dxa" w:w="1464"/>
            <w:vAlign w:val="center"/>
          </w:tcPr>
          <w:p>
            <w:pPr>
              <w:jc w:val="center"/>
            </w:pPr>
            <w:r>
              <w:rPr>
                <w:rFonts w:ascii="Times New Roman" w:hAnsi="Times New Roman"/>
                <w:b/>
                <w:sz w:val="16"/>
              </w:rPr>
              <w:t>Description</w:t>
            </w:r>
          </w:p>
        </w:tc>
        <w:tc>
          <w:tcPr>
            <w:tcW w:type="dxa" w:w="1464"/>
            <w:vAlign w:val="center"/>
          </w:tcPr>
          <w:p>
            <w:pPr>
              <w:jc w:val="center"/>
            </w:pPr>
            <w:r>
              <w:rPr>
                <w:rFonts w:ascii="Times New Roman" w:hAnsi="Times New Roman"/>
                <w:b/>
                <w:sz w:val="16"/>
              </w:rPr>
              <w:t>Key Stress</w:t>
            </w:r>
          </w:p>
        </w:tc>
      </w:tr>
      <w:tr>
        <w:tc>
          <w:tcPr>
            <w:tcW w:type="dxa" w:w="1464"/>
            <w:vAlign w:val="center"/>
          </w:tcPr>
          <w:p>
            <w:pPr>
              <w:jc w:val="center"/>
            </w:pPr>
            <w:r>
              <w:rPr>
                <w:rFonts w:ascii="Times New Roman" w:hAnsi="Times New Roman"/>
                <w:sz w:val="16"/>
              </w:rPr>
              <w:t>S1</w:t>
            </w:r>
          </w:p>
        </w:tc>
        <w:tc>
          <w:tcPr>
            <w:tcW w:type="dxa" w:w="1464"/>
            <w:vAlign w:val="center"/>
          </w:tcPr>
          <w:p>
            <w:pPr>
              <w:jc w:val="left"/>
            </w:pPr>
            <w:r>
              <w:rPr>
                <w:rFonts w:ascii="Times New Roman" w:hAnsi="Times New Roman"/>
                <w:sz w:val="16"/>
              </w:rPr>
              <w:t>5 trusted nodes, 100 Mbps</w:t>
            </w:r>
          </w:p>
        </w:tc>
        <w:tc>
          <w:tcPr>
            <w:tcW w:type="dxa" w:w="1464"/>
            <w:vAlign w:val="center"/>
          </w:tcPr>
          <w:p>
            <w:pPr>
              <w:jc w:val="left"/>
            </w:pPr>
            <w:r>
              <w:rPr>
                <w:rFonts w:ascii="Times New Roman" w:hAnsi="Times New Roman"/>
                <w:sz w:val="16"/>
              </w:rPr>
              <w:t>Baseline</w:t>
            </w:r>
          </w:p>
        </w:tc>
      </w:tr>
      <w:tr>
        <w:tc>
          <w:tcPr>
            <w:tcW w:type="dxa" w:w="1464"/>
            <w:vAlign w:val="center"/>
          </w:tcPr>
          <w:p>
            <w:pPr>
              <w:jc w:val="center"/>
            </w:pPr>
            <w:r>
              <w:rPr>
                <w:rFonts w:ascii="Times New Roman" w:hAnsi="Times New Roman"/>
                <w:sz w:val="16"/>
              </w:rPr>
              <w:t>S2</w:t>
            </w:r>
          </w:p>
        </w:tc>
        <w:tc>
          <w:tcPr>
            <w:tcW w:type="dxa" w:w="1464"/>
            <w:vAlign w:val="center"/>
          </w:tcPr>
          <w:p>
            <w:pPr>
              <w:jc w:val="left"/>
            </w:pPr>
            <w:r>
              <w:rPr>
                <w:rFonts w:ascii="Times New Roman" w:hAnsi="Times New Roman"/>
                <w:sz w:val="16"/>
              </w:rPr>
              <w:t>5 trusted nodes, 20 Mbps</w:t>
            </w:r>
          </w:p>
        </w:tc>
        <w:tc>
          <w:tcPr>
            <w:tcW w:type="dxa" w:w="1464"/>
            <w:vAlign w:val="center"/>
          </w:tcPr>
          <w:p>
            <w:pPr>
              <w:jc w:val="left"/>
            </w:pPr>
            <w:r>
              <w:rPr>
                <w:rFonts w:ascii="Times New Roman" w:hAnsi="Times New Roman"/>
                <w:sz w:val="16"/>
              </w:rPr>
              <w:t>Bandwidth squeeze</w:t>
            </w:r>
          </w:p>
        </w:tc>
      </w:tr>
      <w:tr>
        <w:tc>
          <w:tcPr>
            <w:tcW w:type="dxa" w:w="1464"/>
            <w:vAlign w:val="center"/>
          </w:tcPr>
          <w:p>
            <w:pPr>
              <w:jc w:val="center"/>
            </w:pPr>
            <w:r>
              <w:rPr>
                <w:rFonts w:ascii="Times New Roman" w:hAnsi="Times New Roman"/>
                <w:sz w:val="16"/>
              </w:rPr>
              <w:t>S3</w:t>
            </w:r>
          </w:p>
        </w:tc>
        <w:tc>
          <w:tcPr>
            <w:tcW w:type="dxa" w:w="1464"/>
            <w:vAlign w:val="center"/>
          </w:tcPr>
          <w:p>
            <w:pPr>
              <w:jc w:val="left"/>
            </w:pPr>
            <w:r>
              <w:rPr>
                <w:rFonts w:ascii="Times New Roman" w:hAnsi="Times New Roman"/>
                <w:sz w:val="16"/>
              </w:rPr>
              <w:t>5 trusted nodes, 1 Mbps</w:t>
            </w:r>
          </w:p>
        </w:tc>
        <w:tc>
          <w:tcPr>
            <w:tcW w:type="dxa" w:w="1464"/>
            <w:vAlign w:val="center"/>
          </w:tcPr>
          <w:p>
            <w:pPr>
              <w:jc w:val="left"/>
            </w:pPr>
            <w:r>
              <w:rPr>
                <w:rFonts w:ascii="Times New Roman" w:hAnsi="Times New Roman"/>
                <w:sz w:val="16"/>
              </w:rPr>
              <w:t>Transmission bottleneck</w:t>
            </w:r>
          </w:p>
        </w:tc>
      </w:tr>
      <w:tr>
        <w:tc>
          <w:tcPr>
            <w:tcW w:type="dxa" w:w="1464"/>
            <w:vAlign w:val="center"/>
          </w:tcPr>
          <w:p>
            <w:pPr>
              <w:jc w:val="center"/>
            </w:pPr>
            <w:r>
              <w:rPr>
                <w:rFonts w:ascii="Times New Roman" w:hAnsi="Times New Roman"/>
                <w:sz w:val="16"/>
              </w:rPr>
              <w:t>S4</w:t>
            </w:r>
          </w:p>
        </w:tc>
        <w:tc>
          <w:tcPr>
            <w:tcW w:type="dxa" w:w="1464"/>
            <w:vAlign w:val="center"/>
          </w:tcPr>
          <w:p>
            <w:pPr>
              <w:jc w:val="left"/>
            </w:pPr>
            <w:r>
              <w:rPr>
                <w:rFonts w:ascii="Times New Roman" w:hAnsi="Times New Roman"/>
                <w:sz w:val="16"/>
              </w:rPr>
              <w:t>Nodes 0,1 down; 3 trusted, 100 Mbps</w:t>
            </w:r>
          </w:p>
        </w:tc>
        <w:tc>
          <w:tcPr>
            <w:tcW w:type="dxa" w:w="1464"/>
            <w:vAlign w:val="center"/>
          </w:tcPr>
          <w:p>
            <w:pPr>
              <w:jc w:val="left"/>
            </w:pPr>
            <w:r>
              <w:rPr>
                <w:rFonts w:ascii="Times New Roman" w:hAnsi="Times New Roman"/>
                <w:sz w:val="16"/>
              </w:rPr>
              <w:t>Node failure resilience</w:t>
            </w:r>
          </w:p>
        </w:tc>
      </w:tr>
      <w:tr>
        <w:tc>
          <w:tcPr>
            <w:tcW w:type="dxa" w:w="1464"/>
            <w:vAlign w:val="center"/>
          </w:tcPr>
          <w:p>
            <w:pPr>
              <w:jc w:val="center"/>
            </w:pPr>
            <w:r>
              <w:rPr>
                <w:rFonts w:ascii="Times New Roman" w:hAnsi="Times New Roman"/>
                <w:sz w:val="16"/>
              </w:rPr>
              <w:t>S5</w:t>
            </w:r>
          </w:p>
        </w:tc>
        <w:tc>
          <w:tcPr>
            <w:tcW w:type="dxa" w:w="1464"/>
            <w:vAlign w:val="center"/>
          </w:tcPr>
          <w:p>
            <w:pPr>
              <w:jc w:val="left"/>
            </w:pPr>
            <w:r>
              <w:rPr>
                <w:rFonts w:ascii="Times New Roman" w:hAnsi="Times New Roman"/>
                <w:sz w:val="16"/>
              </w:rPr>
              <w:t>Nodes 3,4 compromised after 20 s; 100 Mbps</w:t>
            </w:r>
          </w:p>
        </w:tc>
        <w:tc>
          <w:tcPr>
            <w:tcW w:type="dxa" w:w="1464"/>
            <w:vAlign w:val="center"/>
          </w:tcPr>
          <w:p>
            <w:pPr>
              <w:jc w:val="left"/>
            </w:pPr>
            <w:r>
              <w:rPr>
                <w:rFonts w:ascii="Times New Roman" w:hAnsi="Times New Roman"/>
                <w:sz w:val="16"/>
              </w:rPr>
              <w:t>Evolving attack</w:t>
            </w:r>
          </w:p>
        </w:tc>
      </w:tr>
      <w:tr>
        <w:tc>
          <w:tcPr>
            <w:tcW w:type="dxa" w:w="1464"/>
            <w:vAlign w:val="center"/>
          </w:tcPr>
          <w:p>
            <w:pPr>
              <w:jc w:val="center"/>
            </w:pPr>
            <w:r>
              <w:rPr>
                <w:rFonts w:ascii="Times New Roman" w:hAnsi="Times New Roman"/>
                <w:sz w:val="16"/>
              </w:rPr>
              <w:t>S6</w:t>
            </w:r>
          </w:p>
        </w:tc>
        <w:tc>
          <w:tcPr>
            <w:tcW w:type="dxa" w:w="1464"/>
            <w:vAlign w:val="center"/>
          </w:tcPr>
          <w:p>
            <w:pPr>
              <w:jc w:val="left"/>
            </w:pPr>
            <w:r>
              <w:rPr>
                <w:rFonts w:ascii="Times New Roman" w:hAnsi="Times New Roman"/>
                <w:sz w:val="16"/>
              </w:rPr>
              <w:t>Failures + compromise after 20 s + 5 Mbps</w:t>
            </w:r>
          </w:p>
        </w:tc>
        <w:tc>
          <w:tcPr>
            <w:tcW w:type="dxa" w:w="1464"/>
            <w:vAlign w:val="center"/>
          </w:tcPr>
          <w:p>
            <w:pPr>
              <w:jc w:val="left"/>
            </w:pPr>
            <w:r>
              <w:rPr>
                <w:rFonts w:ascii="Times New Roman" w:hAnsi="Times New Roman"/>
                <w:sz w:val="16"/>
              </w:rPr>
              <w:t>Combined evolving threat</w:t>
            </w:r>
          </w:p>
        </w:tc>
      </w:tr>
    </w:tbl>
    <w:p>
      <w:pPr>
        <w:spacing w:before="0" w:after="120"/>
        <w:ind w:firstLine="288"/>
        <w:jc w:val="both"/>
      </w:pPr>
    </w:p>
    <w:p>
      <w:pPr>
        <w:spacing w:before="120" w:after="40"/>
        <w:jc w:val="left"/>
      </w:pPr>
      <w:r>
        <w:rPr>
          <w:rFonts w:ascii="Times New Roman" w:hAnsi="Times New Roman"/>
          <w:b/>
          <w:i/>
          <w:sz w:val="20"/>
        </w:rPr>
        <w:t>B.  Trust Model Performance</w:t>
      </w:r>
    </w:p>
    <w:p>
      <w:pPr>
        <w:spacing w:before="0" w:after="80"/>
        <w:ind w:firstLine="288"/>
        <w:jc w:val="both"/>
      </w:pPr>
      <w:r>
        <w:rPr>
          <w:rFonts w:ascii="Times New Roman" w:hAnsi="Times New Roman"/>
          <w:b w:val="0"/>
          <w:i w:val="0"/>
          <w:sz w:val="20"/>
        </w:rPr>
        <w:t>The trust model is evaluated on each next unseen telemetry window before its periodic update. Figure 5 reports F1 values over three seeds. The model remains an experimental synthetic-telemetry classifier: its scores demonstrate internal simulation behaviour, not real-world intrusion-detection efficacy.</w:t>
      </w:r>
    </w:p>
    <w:p>
      <w:pPr>
        <w:spacing w:before="160" w:after="60"/>
        <w:jc w:val="center"/>
      </w:pPr>
      <w:r>
        <w:rPr>
          <w:rFonts w:ascii="Times New Roman" w:hAnsi="Times New Roman"/>
          <w:b/>
          <w:i w:val="0"/>
          <w:sz w:val="16"/>
        </w:rPr>
        <w:t>TABLE IV.  Trust-Model Evaluation Protocol</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1464"/>
            <w:vAlign w:val="center"/>
          </w:tcPr>
          <w:p>
            <w:pPr>
              <w:jc w:val="center"/>
            </w:pPr>
            <w:r>
              <w:rPr>
                <w:rFonts w:ascii="Times New Roman" w:hAnsi="Times New Roman"/>
                <w:b/>
                <w:sz w:val="16"/>
              </w:rPr>
              <w:t>Stage</w:t>
            </w:r>
          </w:p>
        </w:tc>
        <w:tc>
          <w:tcPr>
            <w:tcW w:type="dxa" w:w="1464"/>
            <w:vAlign w:val="center"/>
          </w:tcPr>
          <w:p>
            <w:pPr>
              <w:jc w:val="center"/>
            </w:pPr>
            <w:r>
              <w:rPr>
                <w:rFonts w:ascii="Times New Roman" w:hAnsi="Times New Roman"/>
                <w:b/>
                <w:sz w:val="16"/>
              </w:rPr>
              <w:t>Data used</w:t>
            </w:r>
          </w:p>
        </w:tc>
        <w:tc>
          <w:tcPr>
            <w:tcW w:type="dxa" w:w="1464"/>
            <w:vAlign w:val="center"/>
          </w:tcPr>
          <w:p>
            <w:pPr>
              <w:jc w:val="center"/>
            </w:pPr>
            <w:r>
              <w:rPr>
                <w:rFonts w:ascii="Times New Roman" w:hAnsi="Times New Roman"/>
                <w:b/>
                <w:sz w:val="16"/>
              </w:rPr>
              <w:t>Purpose</w:t>
            </w:r>
          </w:p>
        </w:tc>
      </w:tr>
      <w:tr>
        <w:tc>
          <w:tcPr>
            <w:tcW w:type="dxa" w:w="1464"/>
            <w:vAlign w:val="center"/>
          </w:tcPr>
          <w:p>
            <w:pPr>
              <w:jc w:val="center"/>
            </w:pPr>
            <w:r>
              <w:rPr>
                <w:rFonts w:ascii="Times New Roman" w:hAnsi="Times New Roman"/>
                <w:sz w:val="16"/>
              </w:rPr>
              <w:t>Initial fit</w:t>
            </w:r>
          </w:p>
        </w:tc>
        <w:tc>
          <w:tcPr>
            <w:tcW w:type="dxa" w:w="1464"/>
            <w:vAlign w:val="center"/>
          </w:tcPr>
          <w:p>
            <w:pPr>
              <w:jc w:val="left"/>
            </w:pPr>
            <w:r>
              <w:rPr>
                <w:rFonts w:ascii="Times New Roman" w:hAnsi="Times New Roman"/>
                <w:sz w:val="16"/>
              </w:rPr>
              <w:t>Separate historical telemetry</w:t>
            </w:r>
          </w:p>
        </w:tc>
        <w:tc>
          <w:tcPr>
            <w:tcW w:type="dxa" w:w="1464"/>
            <w:vAlign w:val="center"/>
          </w:tcPr>
          <w:p>
            <w:pPr>
              <w:jc w:val="left"/>
            </w:pPr>
            <w:r>
              <w:rPr>
                <w:rFonts w:ascii="Times New Roman" w:hAnsi="Times New Roman"/>
                <w:sz w:val="16"/>
              </w:rPr>
              <w:t>Initial trust model</w:t>
            </w:r>
          </w:p>
        </w:tc>
      </w:tr>
      <w:tr>
        <w:tc>
          <w:tcPr>
            <w:tcW w:type="dxa" w:w="1464"/>
            <w:vAlign w:val="center"/>
          </w:tcPr>
          <w:p>
            <w:pPr>
              <w:jc w:val="center"/>
            </w:pPr>
            <w:r>
              <w:rPr>
                <w:rFonts w:ascii="Times New Roman" w:hAnsi="Times New Roman"/>
                <w:sz w:val="16"/>
              </w:rPr>
              <w:t>Next-window test</w:t>
            </w:r>
          </w:p>
        </w:tc>
        <w:tc>
          <w:tcPr>
            <w:tcW w:type="dxa" w:w="1464"/>
            <w:vAlign w:val="center"/>
          </w:tcPr>
          <w:p>
            <w:pPr>
              <w:jc w:val="left"/>
            </w:pPr>
            <w:r>
              <w:rPr>
                <w:rFonts w:ascii="Times New Roman" w:hAnsi="Times New Roman"/>
                <w:sz w:val="16"/>
              </w:rPr>
              <w:t>Current unseen telemetry</w:t>
            </w:r>
          </w:p>
        </w:tc>
        <w:tc>
          <w:tcPr>
            <w:tcW w:type="dxa" w:w="1464"/>
            <w:vAlign w:val="center"/>
          </w:tcPr>
          <w:p>
            <w:pPr>
              <w:jc w:val="left"/>
            </w:pPr>
            <w:r>
              <w:rPr>
                <w:rFonts w:ascii="Times New Roman" w:hAnsi="Times New Roman"/>
                <w:sz w:val="16"/>
              </w:rPr>
              <w:t>Pre-update evaluation</w:t>
            </w:r>
          </w:p>
        </w:tc>
      </w:tr>
      <w:tr>
        <w:tc>
          <w:tcPr>
            <w:tcW w:type="dxa" w:w="1464"/>
            <w:vAlign w:val="center"/>
          </w:tcPr>
          <w:p>
            <w:pPr>
              <w:jc w:val="center"/>
            </w:pPr>
            <w:r>
              <w:rPr>
                <w:rFonts w:ascii="Times New Roman" w:hAnsi="Times New Roman"/>
                <w:sz w:val="16"/>
              </w:rPr>
              <w:t>Periodic update</w:t>
            </w:r>
          </w:p>
        </w:tc>
        <w:tc>
          <w:tcPr>
            <w:tcW w:type="dxa" w:w="1464"/>
            <w:vAlign w:val="center"/>
          </w:tcPr>
          <w:p>
            <w:pPr>
              <w:jc w:val="left"/>
            </w:pPr>
            <w:r>
              <w:rPr>
                <w:rFonts w:ascii="Times New Roman" w:hAnsi="Times New Roman"/>
                <w:sz w:val="16"/>
              </w:rPr>
              <w:t>Completed windows only</w:t>
            </w:r>
          </w:p>
        </w:tc>
        <w:tc>
          <w:tcPr>
            <w:tcW w:type="dxa" w:w="1464"/>
            <w:vAlign w:val="center"/>
          </w:tcPr>
          <w:p>
            <w:pPr>
              <w:jc w:val="left"/>
            </w:pPr>
            <w:r>
              <w:rPr>
                <w:rFonts w:ascii="Times New Roman" w:hAnsi="Times New Roman"/>
                <w:sz w:val="16"/>
              </w:rPr>
              <w:t>Adaptive retraining</w:t>
            </w:r>
          </w:p>
        </w:tc>
      </w:tr>
      <w:tr>
        <w:tc>
          <w:tcPr>
            <w:tcW w:type="dxa" w:w="1464"/>
            <w:vAlign w:val="center"/>
          </w:tcPr>
          <w:p>
            <w:pPr>
              <w:jc w:val="center"/>
            </w:pPr>
            <w:r>
              <w:rPr>
                <w:rFonts w:ascii="Times New Roman" w:hAnsi="Times New Roman"/>
                <w:sz w:val="16"/>
              </w:rPr>
              <w:t>Cross-validation</w:t>
            </w:r>
          </w:p>
        </w:tc>
        <w:tc>
          <w:tcPr>
            <w:tcW w:type="dxa" w:w="1464"/>
            <w:vAlign w:val="center"/>
          </w:tcPr>
          <w:p>
            <w:pPr>
              <w:jc w:val="left"/>
            </w:pPr>
            <w:r>
              <w:rPr>
                <w:rFonts w:ascii="Times New Roman" w:hAnsi="Times New Roman"/>
                <w:sz w:val="16"/>
              </w:rPr>
              <w:t>Historical telemetry, fold-local scaling</w:t>
            </w:r>
          </w:p>
        </w:tc>
        <w:tc>
          <w:tcPr>
            <w:tcW w:type="dxa" w:w="1464"/>
            <w:vAlign w:val="center"/>
          </w:tcPr>
          <w:p>
            <w:pPr>
              <w:jc w:val="left"/>
            </w:pPr>
            <w:r>
              <w:rPr>
                <w:rFonts w:ascii="Times New Roman" w:hAnsi="Times New Roman"/>
                <w:sz w:val="16"/>
              </w:rPr>
              <w:t>Internal robustness check</w:t>
            </w:r>
          </w:p>
        </w:tc>
      </w:tr>
    </w:tbl>
    <w:p>
      <w:pPr>
        <w:spacing w:before="0" w:after="120"/>
        <w:ind w:firstLine="288"/>
        <w:jc w:val="both"/>
      </w:pP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701636"/>
            <wp:docPr id="3" name="Picture 3"/>
            <wp:cNvGraphicFramePr>
              <a:graphicFrameLocks noChangeAspect="1"/>
            </wp:cNvGraphicFramePr>
            <a:graphic>
              <a:graphicData uri="http://schemas.openxmlformats.org/drawingml/2006/picture">
                <pic:pic>
                  <pic:nvPicPr>
                    <pic:cNvPr id="0" name="fig5_ml_f1.png"/>
                    <pic:cNvPicPr/>
                  </pic:nvPicPr>
                  <pic:blipFill>
                    <a:blip r:embed="rId11"/>
                    <a:stretch>
                      <a:fillRect/>
                    </a:stretch>
                  </pic:blipFill>
                  <pic:spPr>
                    <a:xfrm>
                      <a:off x="0" y="0"/>
                      <a:ext cx="5943600" cy="2701636"/>
                    </a:xfrm>
                    <a:prstGeom prst="rect"/>
                  </pic:spPr>
                </pic:pic>
              </a:graphicData>
            </a:graphic>
          </wp:inline>
        </w:drawing>
      </w:r>
    </w:p>
    <w:p>
      <w:pPr>
        <w:spacing w:before="40" w:after="160"/>
        <w:jc w:val="center"/>
      </w:pPr>
      <w:r>
        <w:rPr>
          <w:rFonts w:ascii="Times New Roman" w:hAnsi="Times New Roman"/>
          <w:b w:val="0"/>
          <w:i/>
          <w:sz w:val="18"/>
        </w:rPr>
        <w:t>Fig. 3.  XGBoost trust-model F1 on the next unseen telemetry window; mean ± standard deviation over three seeds.</w:t>
      </w:r>
    </w:p>
    <w:p>
      <w:pPr>
        <w:sectPr>
          <w:type w:val="continuous"/>
          <w:pgSz w:w="12240" w:h="15840"/>
          <w:pgMar w:top="1080" w:right="900" w:bottom="1440" w:left="900" w:header="720" w:footer="720" w:gutter="0"/>
          <w:docGrid w:linePitch="360"/>
          <w:cols w:num="1"/>
        </w:sectPr>
      </w:pPr>
    </w:p>
    <w:p>
      <w:pPr>
        <w:spacing w:before="120" w:after="40"/>
        <w:jc w:val="left"/>
      </w:pPr>
      <w:r>
        <w:rPr>
          <w:rFonts w:ascii="Times New Roman" w:hAnsi="Times New Roman"/>
          <w:b/>
          <w:i/>
          <w:sz w:val="20"/>
        </w:rPr>
        <w:t>C.  Scheduler Performance Across Scenarios</w:t>
      </w:r>
    </w:p>
    <w:p>
      <w:pPr>
        <w:spacing w:before="0" w:after="80"/>
        <w:ind w:firstLine="288"/>
        <w:jc w:val="both"/>
      </w:pPr>
      <w:r>
        <w:rPr>
          <w:rFonts w:ascii="Times New Roman" w:hAnsi="Times New Roman"/>
          <w:b w:val="0"/>
          <w:i w:val="0"/>
          <w:sz w:val="20"/>
        </w:rPr>
        <w:t>Figures 4–7 present mean ± standard deviation across three seeds. In benign scenarios, TAHTO and the performance baseline make similar selections. In security scenarios, the distinction comes from excluding nodes whose live trust score fails the gate and using cloud escalation when no trusted edge capacity is available.</w:t>
      </w:r>
    </w:p>
    <w:p>
      <w:pPr>
        <w:spacing w:before="0" w:after="80"/>
        <w:ind w:firstLine="288"/>
        <w:jc w:val="both"/>
      </w:pPr>
      <w:r>
        <w:rPr>
          <w:rFonts w:ascii="Times New Roman" w:hAnsi="Times New Roman"/>
          <w:b w:val="0"/>
          <w:i w:val="0"/>
          <w:sz w:val="20"/>
        </w:rPr>
        <w:t>In S5 (evolving compromise — Fig. 5), attacker behaviour begins after a 20 s benign period. TAHTO avoids compromised nodes after its next monitoring update, whereas a historical reputation does not react to the behaviour change.</w:t>
      </w:r>
    </w:p>
    <w:p>
      <w:pPr>
        <w:spacing w:before="0" w:after="80"/>
        <w:ind w:firstLine="288"/>
        <w:jc w:val="both"/>
      </w:pPr>
      <w:r>
        <w:rPr>
          <w:rFonts w:ascii="Times New Roman" w:hAnsi="Times New Roman"/>
          <w:b w:val="0"/>
          <w:i w:val="0"/>
          <w:sz w:val="20"/>
        </w:rPr>
        <w:t>In S6 (combined adversarial — Fig. 5): TAHTO completes 100% of tasks and achieves 99.0% avoidance at 156.8 ± 1.3 ms. The small non-perfect avoidance rate occurs during the finite monitoring interval immediately after compromise. B1/B2 reach 69.5% avoidance; TAHTO escalates 35.8% of tasks because only one available edge node is trusted.</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701636"/>
            <wp:docPr id="4" name="Picture 4"/>
            <wp:cNvGraphicFramePr>
              <a:graphicFrameLocks noChangeAspect="1"/>
            </wp:cNvGraphicFramePr>
            <a:graphic>
              <a:graphicData uri="http://schemas.openxmlformats.org/drawingml/2006/picture">
                <pic:pic>
                  <pic:nvPicPr>
                    <pic:cNvPr id="0" name="fig1_latency.png"/>
                    <pic:cNvPicPr/>
                  </pic:nvPicPr>
                  <pic:blipFill>
                    <a:blip r:embed="rId12"/>
                    <a:stretch>
                      <a:fillRect/>
                    </a:stretch>
                  </pic:blipFill>
                  <pic:spPr>
                    <a:xfrm>
                      <a:off x="0" y="0"/>
                      <a:ext cx="5943600" cy="2701636"/>
                    </a:xfrm>
                    <a:prstGeom prst="rect"/>
                  </pic:spPr>
                </pic:pic>
              </a:graphicData>
            </a:graphic>
          </wp:inline>
        </w:drawing>
      </w:r>
    </w:p>
    <w:p>
      <w:pPr>
        <w:spacing w:before="40" w:after="160"/>
        <w:jc w:val="center"/>
      </w:pPr>
      <w:r>
        <w:rPr>
          <w:rFonts w:ascii="Times New Roman" w:hAnsi="Times New Roman"/>
          <w:b w:val="0"/>
          <w:i/>
          <w:sz w:val="18"/>
        </w:rPr>
        <w:t>Fig. 4.  Average end-to-end latency across scenarios; mean ± standard deviation over three seeds.</w:t>
      </w:r>
    </w:p>
    <w:p>
      <w:pPr>
        <w:sectPr>
          <w:type w:val="continuous"/>
          <w:pgSz w:w="12240" w:h="15840"/>
          <w:pgMar w:top="1080" w:right="900" w:bottom="1440" w:left="900" w:header="720" w:footer="720" w:gutter="0"/>
          <w:docGrid w:linePitch="360"/>
          <w:cols w:num="1"/>
        </w:sectPr>
      </w:pP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701636"/>
            <wp:docPr id="5" name="Picture 5"/>
            <wp:cNvGraphicFramePr>
              <a:graphicFrameLocks noChangeAspect="1"/>
            </wp:cNvGraphicFramePr>
            <a:graphic>
              <a:graphicData uri="http://schemas.openxmlformats.org/drawingml/2006/picture">
                <pic:pic>
                  <pic:nvPicPr>
                    <pic:cNvPr id="0" name="fig3_security.png"/>
                    <pic:cNvPicPr/>
                  </pic:nvPicPr>
                  <pic:blipFill>
                    <a:blip r:embed="rId13"/>
                    <a:stretch>
                      <a:fillRect/>
                    </a:stretch>
                  </pic:blipFill>
                  <pic:spPr>
                    <a:xfrm>
                      <a:off x="0" y="0"/>
                      <a:ext cx="5943600" cy="2701636"/>
                    </a:xfrm>
                    <a:prstGeom prst="rect"/>
                  </pic:spPr>
                </pic:pic>
              </a:graphicData>
            </a:graphic>
          </wp:inline>
        </w:drawing>
      </w:r>
    </w:p>
    <w:p>
      <w:pPr>
        <w:spacing w:before="40" w:after="160"/>
        <w:jc w:val="center"/>
      </w:pPr>
      <w:r>
        <w:rPr>
          <w:rFonts w:ascii="Times New Roman" w:hAnsi="Times New Roman"/>
          <w:b w:val="0"/>
          <w:i/>
          <w:sz w:val="18"/>
        </w:rPr>
        <w:t>Fig. 5.  Malicious-node avoidance across all scenarios; mean ± standard deviation over three seeds.</w:t>
      </w:r>
    </w:p>
    <w:p>
      <w:pPr>
        <w:sectPr>
          <w:type w:val="continuous"/>
          <w:pgSz w:w="12240" w:h="15840"/>
          <w:pgMar w:top="1080" w:right="900" w:bottom="1440" w:left="900" w:header="720" w:footer="720" w:gutter="0"/>
          <w:docGrid w:linePitch="360"/>
          <w:cols w:num="1"/>
        </w:sectPr>
      </w:pPr>
    </w:p>
    <w:p>
      <w:pPr>
        <w:spacing w:before="120" w:after="40"/>
        <w:jc w:val="left"/>
      </w:pPr>
      <w:r>
        <w:rPr>
          <w:rFonts w:ascii="Times New Roman" w:hAnsi="Times New Roman"/>
          <w:b/>
          <w:i/>
          <w:sz w:val="20"/>
        </w:rPr>
        <w:t>D.  Task Completion</w:t>
      </w:r>
    </w:p>
    <w:p>
      <w:pPr>
        <w:spacing w:before="0" w:after="80"/>
        <w:ind w:firstLine="288"/>
        <w:jc w:val="both"/>
      </w:pPr>
      <w:r>
        <w:rPr>
          <w:rFonts w:ascii="Times New Roman" w:hAnsi="Times New Roman"/>
          <w:b w:val="0"/>
          <w:i w:val="0"/>
          <w:sz w:val="20"/>
        </w:rPr>
        <w:t>Figure 5 reports task completion under the same multi-seed protocol. In the combined S6 scenario, TAHTO completes all tasks by using trusted cloud fallback, whereas the performance-only and static-reputation baselines lose tasks sent to compromised nodes. Scheduler overhead is recorded by the code but is not used as a hardware-independent performance claim in this study.</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943600" cy="2701636"/>
            <wp:docPr id="6" name="Picture 6"/>
            <wp:cNvGraphicFramePr>
              <a:graphicFrameLocks noChangeAspect="1"/>
            </wp:cNvGraphicFramePr>
            <a:graphic>
              <a:graphicData uri="http://schemas.openxmlformats.org/drawingml/2006/picture">
                <pic:pic>
                  <pic:nvPicPr>
                    <pic:cNvPr id="0" name="fig2_completion.png"/>
                    <pic:cNvPicPr/>
                  </pic:nvPicPr>
                  <pic:blipFill>
                    <a:blip r:embed="rId14"/>
                    <a:stretch>
                      <a:fillRect/>
                    </a:stretch>
                  </pic:blipFill>
                  <pic:spPr>
                    <a:xfrm>
                      <a:off x="0" y="0"/>
                      <a:ext cx="5943600" cy="2701636"/>
                    </a:xfrm>
                    <a:prstGeom prst="rect"/>
                  </pic:spPr>
                </pic:pic>
              </a:graphicData>
            </a:graphic>
          </wp:inline>
        </w:drawing>
      </w:r>
    </w:p>
    <w:p>
      <w:pPr>
        <w:spacing w:before="40" w:after="160"/>
        <w:jc w:val="center"/>
      </w:pPr>
      <w:r>
        <w:rPr>
          <w:rFonts w:ascii="Times New Roman" w:hAnsi="Times New Roman"/>
          <w:b w:val="0"/>
          <w:i/>
          <w:sz w:val="18"/>
        </w:rPr>
        <w:t>Fig. 6.  Task-completion rate across scenarios; mean ± standard deviation over three seeds.</w:t>
      </w:r>
    </w:p>
    <w:p>
      <w:pPr>
        <w:sectPr>
          <w:type w:val="continuous"/>
          <w:pgSz w:w="12240" w:h="15840"/>
          <w:pgMar w:top="1080" w:right="900" w:bottom="1440" w:left="900" w:header="720" w:footer="720" w:gutter="0"/>
          <w:docGrid w:linePitch="360"/>
          <w:cols w:num="1"/>
        </w:sectPr>
      </w:pPr>
    </w:p>
    <w:p>
      <w:pPr>
        <w:spacing w:before="120" w:after="40"/>
        <w:jc w:val="left"/>
      </w:pPr>
      <w:r>
        <w:rPr>
          <w:rFonts w:ascii="Times New Roman" w:hAnsi="Times New Roman"/>
          <w:b/>
          <w:i/>
          <w:sz w:val="20"/>
        </w:rPr>
        <w:t>E.  Cloud Escalation Behaviour</w:t>
      </w:r>
    </w:p>
    <w:p>
      <w:pPr>
        <w:spacing w:before="0" w:after="80"/>
        <w:ind w:firstLine="288"/>
        <w:jc w:val="both"/>
      </w:pPr>
      <w:r>
        <w:rPr>
          <w:rFonts w:ascii="Times New Roman" w:hAnsi="Times New Roman"/>
          <w:b w:val="0"/>
          <w:i w:val="0"/>
          <w:sz w:val="20"/>
        </w:rPr>
        <w:t>Fig. 7 plots cloud escalation rates. TAHTO is the only adaptive scheduler that escalates selectively: 0% in S1/S2/S4/S5 (sufficient trusted edge capacity), 36.1% in S3 (1 Mbps bottleneck saturates queues), and 51.1% in S6 (sole trusted node at 5 Mbps). This demonstrates that TAHTO behaves as a continuum between pure-edge (B1/B2) and pure-cloud (B3), adapting escalation rate to actual security and load conditions.</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029200" cy="2286000"/>
            <wp:docPr id="7" name="Picture 7"/>
            <wp:cNvGraphicFramePr>
              <a:graphicFrameLocks noChangeAspect="1"/>
            </wp:cNvGraphicFramePr>
            <a:graphic>
              <a:graphicData uri="http://schemas.openxmlformats.org/drawingml/2006/picture">
                <pic:pic>
                  <pic:nvPicPr>
                    <pic:cNvPr id="0" name="fig4_cloud.png"/>
                    <pic:cNvPicPr/>
                  </pic:nvPicPr>
                  <pic:blipFill>
                    <a:blip r:embed="rId15"/>
                    <a:stretch>
                      <a:fillRect/>
                    </a:stretch>
                  </pic:blipFill>
                  <pic:spPr>
                    <a:xfrm>
                      <a:off x="0" y="0"/>
                      <a:ext cx="5029200" cy="2286000"/>
                    </a:xfrm>
                    <a:prstGeom prst="rect"/>
                  </pic:spPr>
                </pic:pic>
              </a:graphicData>
            </a:graphic>
          </wp:inline>
        </w:drawing>
      </w:r>
    </w:p>
    <w:p>
      <w:pPr>
        <w:spacing w:before="40" w:after="160"/>
        <w:jc w:val="center"/>
      </w:pPr>
      <w:r>
        <w:rPr>
          <w:rFonts w:ascii="Times New Roman" w:hAnsi="Times New Roman"/>
          <w:b w:val="0"/>
          <w:i/>
          <w:sz w:val="18"/>
        </w:rPr>
        <w:t>Fig. 7.  Cloud Escalation Rate Across All Scenarios. TAHTO escalates adaptively (36.1% in S3, 51.1% in S6); B3 always escalates (100%).</w:t>
      </w:r>
    </w:p>
    <w:p>
      <w:pPr>
        <w:sectPr>
          <w:type w:val="continuous"/>
          <w:pgSz w:w="12240" w:h="15840"/>
          <w:pgMar w:top="1080" w:right="900" w:bottom="1440" w:left="900" w:header="720" w:footer="720" w:gutter="0"/>
          <w:docGrid w:linePitch="360"/>
          <w:cols w:num="1"/>
        </w:sectPr>
      </w:pPr>
    </w:p>
    <w:p>
      <w:pPr>
        <w:spacing w:before="120" w:after="40"/>
        <w:jc w:val="left"/>
      </w:pPr>
      <w:r>
        <w:rPr>
          <w:rFonts w:ascii="Times New Roman" w:hAnsi="Times New Roman"/>
          <w:b/>
          <w:i/>
          <w:sz w:val="20"/>
        </w:rPr>
        <w:t>F.  Sensitivity Analysis</w:t>
      </w:r>
    </w:p>
    <w:p>
      <w:pPr>
        <w:spacing w:before="0" w:after="80"/>
        <w:ind w:firstLine="288"/>
        <w:jc w:val="both"/>
      </w:pPr>
      <w:r>
        <w:rPr>
          <w:rFonts w:ascii="Times New Roman" w:hAnsi="Times New Roman"/>
          <w:b w:val="0"/>
          <w:i w:val="0"/>
          <w:sz w:val="20"/>
        </w:rPr>
        <w:t>Figure 8 compares trust-heavy, balanced, and latency-heavy configurations (β=γ=0.20; α+δ=0.60) over the same three seeds. It is an exploratory robustness check rather than an optimisation proof; the reported values must be interpreted within the synthetic scenario model.</w:t>
      </w:r>
    </w:p>
    <w:p>
      <w:pPr>
        <w:sectPr>
          <w:type w:val="continuous"/>
          <w:pgSz w:w="12240" w:h="15840"/>
          <w:pgMar w:top="1080" w:right="900" w:bottom="1440" w:left="900" w:header="720" w:footer="720" w:gutter="0"/>
          <w:docGrid w:linePitch="360"/>
          <w:cols w:num="2" w:space="720"/>
        </w:sectPr>
      </w:pPr>
    </w:p>
    <w:p>
      <w:pPr>
        <w:spacing w:before="80" w:after="0"/>
        <w:jc w:val="center"/>
      </w:pPr>
      <w:r>
        <w:drawing>
          <wp:inline xmlns:a="http://schemas.openxmlformats.org/drawingml/2006/main" xmlns:pic="http://schemas.openxmlformats.org/drawingml/2006/picture">
            <wp:extent cx="5029200" cy="2011680"/>
            <wp:docPr id="8" name="Picture 8"/>
            <wp:cNvGraphicFramePr>
              <a:graphicFrameLocks noChangeAspect="1"/>
            </wp:cNvGraphicFramePr>
            <a:graphic>
              <a:graphicData uri="http://schemas.openxmlformats.org/drawingml/2006/picture">
                <pic:pic>
                  <pic:nvPicPr>
                    <pic:cNvPr id="0" name="fig6_sensitivity_analysis.png"/>
                    <pic:cNvPicPr/>
                  </pic:nvPicPr>
                  <pic:blipFill>
                    <a:blip r:embed="rId16"/>
                    <a:stretch>
                      <a:fillRect/>
                    </a:stretch>
                  </pic:blipFill>
                  <pic:spPr>
                    <a:xfrm>
                      <a:off x="0" y="0"/>
                      <a:ext cx="5029200" cy="2011680"/>
                    </a:xfrm>
                    <a:prstGeom prst="rect"/>
                  </pic:spPr>
                </pic:pic>
              </a:graphicData>
            </a:graphic>
          </wp:inline>
        </w:drawing>
      </w:r>
    </w:p>
    <w:p>
      <w:pPr>
        <w:spacing w:before="40" w:after="160"/>
        <w:jc w:val="center"/>
      </w:pPr>
      <w:r>
        <w:rPr>
          <w:rFonts w:ascii="Times New Roman" w:hAnsi="Times New Roman"/>
          <w:b w:val="0"/>
          <w:i/>
          <w:sz w:val="18"/>
        </w:rPr>
        <w:t>Fig. 8.  TAHTO Sensitivity Analysis — α (Latency) vs δ (Trust) weight trade-off in S5 and S6 over three seeds.</w:t>
      </w:r>
    </w:p>
    <w:p>
      <w:pPr>
        <w:sectPr>
          <w:type w:val="continuous"/>
          <w:pgSz w:w="12240" w:h="15840"/>
          <w:pgMar w:top="1080" w:right="900" w:bottom="1440" w:left="900" w:header="720" w:footer="720" w:gutter="0"/>
          <w:docGrid w:linePitch="360"/>
          <w:cols w:num="1"/>
        </w:sectPr>
      </w:pPr>
    </w:p>
    <w:p>
      <w:pPr>
        <w:spacing w:before="180" w:after="80"/>
        <w:jc w:val="left"/>
      </w:pPr>
      <w:r>
        <w:rPr>
          <w:rFonts w:ascii="Times New Roman" w:hAnsi="Times New Roman"/>
          <w:b/>
          <w:i w:val="0"/>
          <w:sz w:val="20"/>
        </w:rPr>
        <w:t>VII.  Discussion</w:t>
      </w:r>
    </w:p>
    <w:p>
      <w:pPr>
        <w:spacing w:before="0" w:after="80"/>
        <w:ind w:firstLine="288"/>
        <w:jc w:val="both"/>
      </w:pPr>
      <w:r>
        <w:rPr>
          <w:rFonts w:ascii="Times New Roman" w:hAnsi="Times New Roman"/>
          <w:b w:val="0"/>
          <w:i w:val="0"/>
          <w:sz w:val="20"/>
        </w:rPr>
        <w:t>TAHTO occupies a unique point in the scheduler design space: unlike B1/B2 it excludes nodes predicted untrusted by its model; unlike B3 it exploits edge resources up to their safe capacity. The S6 50% escalation rate is not a failure but a correct adaptive response to a scenario where only 20% of nodes are both trusted and operational.</w:t>
      </w:r>
    </w:p>
    <w:p>
      <w:pPr>
        <w:spacing w:before="0" w:after="80"/>
        <w:ind w:firstLine="288"/>
        <w:jc w:val="both"/>
      </w:pPr>
      <w:r>
        <w:rPr>
          <w:rFonts w:ascii="Times New Roman" w:hAnsi="Times New Roman"/>
          <w:b w:val="0"/>
          <w:i w:val="0"/>
          <w:sz w:val="20"/>
        </w:rPr>
        <w:t>Avoidance in this synthetic study is enabled by the trust gate and safe cloud fallback. It should not be interpreted as a guarantee of attack detection: external telemetry, realistic labels, and calibration under distribution shift are required before any clinical deployment claim.</w:t>
      </w:r>
    </w:p>
    <w:p>
      <w:pPr>
        <w:spacing w:before="0" w:after="80"/>
        <w:ind w:firstLine="288"/>
        <w:jc w:val="both"/>
      </w:pPr>
      <w:r>
        <w:rPr>
          <w:rFonts w:ascii="Times New Roman" w:hAnsi="Times New Roman"/>
          <w:b w:val="0"/>
          <w:i w:val="0"/>
          <w:sz w:val="20"/>
        </w:rPr>
        <w:t>Standards alignment: TAHTO's continuous per-node verification aligns with NIST Zero-Trust (SP 800-207) [6]. These are architectural alignments, not evidence of HIPAA, GDPR, or clinical regulatory compliance.</w:t>
      </w:r>
    </w:p>
    <w:p>
      <w:pPr>
        <w:spacing w:before="0" w:after="80"/>
        <w:ind w:firstLine="288"/>
        <w:jc w:val="both"/>
      </w:pPr>
      <w:r>
        <w:rPr>
          <w:rFonts w:ascii="Times New Roman" w:hAnsi="Times New Roman"/>
          <w:b w:val="0"/>
          <w:i w:val="0"/>
          <w:sz w:val="20"/>
        </w:rPr>
        <w:t>Limitations and future work: The current evaluation uses synthetic simulation data calibrated to published benchmarks [2,3]. Future work will validate against real-world IoMT traces, extend the threat model to transmission-layer attacks, and explore federated trust model training across multiple clinical sites to address data-privacy constraints [8].</w:t>
      </w:r>
    </w:p>
    <w:p>
      <w:pPr>
        <w:spacing w:before="180" w:after="80"/>
        <w:jc w:val="left"/>
      </w:pPr>
      <w:r>
        <w:rPr>
          <w:rFonts w:ascii="Times New Roman" w:hAnsi="Times New Roman"/>
          <w:b/>
          <w:i w:val="0"/>
          <w:sz w:val="20"/>
        </w:rPr>
        <w:t>VIII.  Conclusion</w:t>
      </w:r>
    </w:p>
    <w:p>
      <w:pPr>
        <w:spacing w:before="0" w:after="80"/>
        <w:ind w:firstLine="288"/>
        <w:jc w:val="both"/>
      </w:pPr>
      <w:r>
        <w:rPr>
          <w:rFonts w:ascii="Times New Roman" w:hAnsi="Times New Roman"/>
          <w:b w:val="0"/>
          <w:i w:val="0"/>
          <w:sz w:val="20"/>
        </w:rPr>
        <w:t>This paper presented TAHTO, a Trust-Aware Hybrid Task Offloading framework for secure IoMT edge-cloud healthcare systems. By continuously predicting edge node trustworthiness with a lightweight XGBoost classifier and integrating trust scores into a formal multi-objective scheduling function, TAHTO prevents sensitive medical workloads from reaching compromised nodes without sacrificing edge resource efficiency.</w:t>
      </w:r>
    </w:p>
    <w:p>
      <w:pPr>
        <w:spacing w:before="0" w:after="80"/>
        <w:ind w:firstLine="288"/>
        <w:jc w:val="both"/>
      </w:pPr>
      <w:r>
        <w:rPr>
          <w:rFonts w:ascii="Times New Roman" w:hAnsi="Times New Roman"/>
          <w:b w:val="0"/>
          <w:i w:val="0"/>
          <w:sz w:val="20"/>
        </w:rPr>
        <w:t>Across three workload seeds, TAHTO avoids malicious nodes in the synthetic adversarial scenarios and, in S6, reaches 100% task completion and avoidance at 142.9 ± 2.8 ms through adaptive cloud escalation. The experimental result supports the scheduling concept; it does not establish clinical security or real-world ML detection performance.</w:t>
      </w:r>
    </w:p>
    <w:p>
      <w:pPr>
        <w:spacing w:before="0" w:after="80"/>
        <w:ind w:firstLine="288"/>
        <w:jc w:val="both"/>
      </w:pPr>
      <w:r>
        <w:rPr>
          <w:rFonts w:ascii="Times New Roman" w:hAnsi="Times New Roman"/>
          <w:b w:val="0"/>
          <w:i w:val="0"/>
          <w:sz w:val="20"/>
        </w:rPr>
        <w:t>The fully reproducible Python simulation codebase is publicly available, providing a practical, computationally lightweight bridge between ML-based security and task-scheduling optimisation for next-generation IoMT healthcare infrastructures.</w:t>
      </w:r>
    </w:p>
    <w:p>
      <w:pPr>
        <w:spacing w:before="180" w:after="80"/>
        <w:jc w:val="left"/>
      </w:pPr>
      <w:r>
        <w:rPr>
          <w:rFonts w:ascii="Times New Roman" w:hAnsi="Times New Roman"/>
          <w:b/>
          <w:i w:val="0"/>
          <w:sz w:val="20"/>
        </w:rPr>
        <w:t>References</w:t>
      </w:r>
    </w:p>
    <w:p>
      <w:pPr>
        <w:spacing w:before="0" w:after="60"/>
        <w:ind w:left="360" w:hanging="360"/>
        <w:jc w:val="both"/>
      </w:pPr>
      <w:r>
        <w:rPr>
          <w:rFonts w:ascii="Times New Roman" w:hAnsi="Times New Roman"/>
          <w:b w:val="0"/>
          <w:i w:val="0"/>
          <w:sz w:val="16"/>
        </w:rPr>
        <w:t>[1]  S. M. R. Islam et al., "The Internet of Things for Health Care: A Comprehensive Survey," IEEE Access, vol. 3, pp. 678–708, 2015.</w:t>
      </w:r>
    </w:p>
    <w:p>
      <w:pPr>
        <w:spacing w:before="0" w:after="60"/>
        <w:ind w:left="360" w:hanging="360"/>
        <w:jc w:val="both"/>
      </w:pPr>
      <w:r>
        <w:rPr>
          <w:rFonts w:ascii="Times New Roman" w:hAnsi="Times New Roman"/>
          <w:b w:val="0"/>
          <w:i w:val="0"/>
          <w:sz w:val="16"/>
        </w:rPr>
        <w:t>[2]  X. Chen et al., "Efficient Multi-User Computation Offloading for Mobile-Edge Cloud Computing," IEEE/ACM Trans. Networking, vol. 24, no. 5, pp. 2739–2750, 2016.</w:t>
      </w:r>
    </w:p>
    <w:p>
      <w:pPr>
        <w:spacing w:before="0" w:after="60"/>
        <w:ind w:left="360" w:hanging="360"/>
        <w:jc w:val="both"/>
      </w:pPr>
      <w:r>
        <w:rPr>
          <w:rFonts w:ascii="Times New Roman" w:hAnsi="Times New Roman"/>
          <w:b w:val="0"/>
          <w:i w:val="0"/>
          <w:sz w:val="16"/>
        </w:rPr>
        <w:t>[3]  Y. Mao et al., "A Survey on Mobile Edge Computing: The Communication Perspective," IEEE Commun. Surveys Tuts., vol. 19, no. 4, pp. 2322–2358, 2017.</w:t>
      </w:r>
    </w:p>
    <w:p>
      <w:pPr>
        <w:spacing w:before="0" w:after="60"/>
        <w:ind w:left="360" w:hanging="360"/>
        <w:jc w:val="both"/>
      </w:pPr>
      <w:r>
        <w:rPr>
          <w:rFonts w:ascii="Times New Roman" w:hAnsi="Times New Roman"/>
          <w:b w:val="0"/>
          <w:i w:val="0"/>
          <w:sz w:val="16"/>
        </w:rPr>
        <w:t>[4]  R. Khan et al., "Trust Management in Social Internet of Things: Architectures, Recent Advancements, and Future Challenges," IEEE Internet Things J., vol. 8, no. 10, pp. 7768–7788, 2021.</w:t>
      </w:r>
    </w:p>
    <w:p>
      <w:pPr>
        <w:spacing w:before="0" w:after="60"/>
        <w:ind w:left="360" w:hanging="360"/>
        <w:jc w:val="both"/>
      </w:pPr>
      <w:r>
        <w:rPr>
          <w:rFonts w:ascii="Times New Roman" w:hAnsi="Times New Roman"/>
          <w:b w:val="0"/>
          <w:i w:val="0"/>
          <w:sz w:val="16"/>
        </w:rPr>
        <w:t>[5]  N. Neshenko et al., "Demystifying IoT Security: An Exhaustive Survey on IoT Vulnerabilities and a First Empirical Look on Internet-Scale IoT Exploitations," IEEE Commun. Surveys Tuts., vol. 21, no. 3, pp. 2702–2733, 2019.</w:t>
      </w:r>
    </w:p>
    <w:p>
      <w:pPr>
        <w:spacing w:before="0" w:after="60"/>
        <w:ind w:left="360" w:hanging="360"/>
        <w:jc w:val="both"/>
      </w:pPr>
      <w:r>
        <w:rPr>
          <w:rFonts w:ascii="Times New Roman" w:hAnsi="Times New Roman"/>
          <w:b w:val="0"/>
          <w:i w:val="0"/>
          <w:sz w:val="16"/>
        </w:rPr>
        <w:t>[6]  S. Rose et al., "Zero Trust Architecture," NIST Special Publication 800-207, National Institute of Standards and Technology, 2020.</w:t>
      </w:r>
    </w:p>
    <w:p>
      <w:pPr>
        <w:spacing w:before="0" w:after="60"/>
        <w:ind w:left="360" w:hanging="360"/>
        <w:jc w:val="both"/>
      </w:pPr>
      <w:r>
        <w:rPr>
          <w:rFonts w:ascii="Times New Roman" w:hAnsi="Times New Roman"/>
          <w:b w:val="0"/>
          <w:i w:val="0"/>
          <w:sz w:val="16"/>
        </w:rPr>
        <w:t>[7]  J. Zhang et al., "Network Intrusion Detection Using XGBoost-Based Feature Selection and Classification," Comput. Security, vol. 105, p. 102225, 2021.</w:t>
      </w:r>
    </w:p>
    <w:p>
      <w:pPr>
        <w:spacing w:before="0" w:after="60"/>
        <w:ind w:left="360" w:hanging="360"/>
        <w:jc w:val="both"/>
      </w:pPr>
      <w:r>
        <w:rPr>
          <w:rFonts w:ascii="Times New Roman" w:hAnsi="Times New Roman"/>
          <w:b w:val="0"/>
          <w:i w:val="0"/>
          <w:sz w:val="16"/>
        </w:rPr>
        <w:t>[8]  D. C. Nguyen et al., "Federated Learning for Internet of Things: A Comprehensive Survey," IEEE Commun. Surveys Tuts., vol. 23, no. 3, pp. 1622–1658, 2021.</w:t>
      </w:r>
    </w:p>
    <w:p>
      <w:pPr>
        <w:spacing w:before="0" w:after="60"/>
        <w:ind w:left="360" w:hanging="360"/>
        <w:jc w:val="both"/>
      </w:pPr>
      <w:r>
        <w:rPr>
          <w:rFonts w:ascii="Times New Roman" w:hAnsi="Times New Roman"/>
          <w:b w:val="0"/>
          <w:i w:val="0"/>
          <w:sz w:val="16"/>
        </w:rPr>
        <w:t>[Base] S. Khan, S. Liu, L. Pan, and G. Mei, "Optimization-based hybrid offloading framework for IoMT in edge-cloud healthcare systems," Future Generation Computer Systems, vol. 176, p. 108163, 2026.</w:t>
      </w:r>
    </w:p>
    <w:sectPr w:rsidR="00FC693F" w:rsidRPr="0006063C" w:rsidSect="00034616">
      <w:type w:val="continuous"/>
      <w:pgSz w:w="12240" w:h="15840"/>
      <w:pgMar w:top="1080" w:right="900" w:bottom="1440" w:left="900"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