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i w:val="0"/>
          <w:sz w:val="40"/>
        </w:rPr>
        <w:t>TAHTO: A Trust-Aware Hybrid Task Offloading Framework</w:t>
        <w:br/>
        <w:t>for Secure IoMT Edge–Cloud Healthcare Systems</w:t>
      </w:r>
    </w:p>
    <w:p>
      <w:pPr>
        <w:spacing w:before="0" w:after="40"/>
        <w:jc w:val="center"/>
      </w:pPr>
      <w:r>
        <w:rPr>
          <w:rFonts w:ascii="Times New Roman" w:hAnsi="Times New Roman"/>
          <w:b w:val="0"/>
          <w:i w:val="0"/>
          <w:sz w:val="22"/>
        </w:rPr>
        <w:t>[Author Name]</w:t>
      </w:r>
    </w:p>
    <w:p>
      <w:pPr>
        <w:spacing w:before="0" w:after="240"/>
        <w:jc w:val="center"/>
      </w:pPr>
      <w:r>
        <w:rPr>
          <w:rFonts w:ascii="Times New Roman" w:hAnsi="Times New Roman"/>
          <w:b w:val="0"/>
          <w:i/>
          <w:sz w:val="20"/>
        </w:rPr>
        <w:t>[Department, Institution, City, Country]   ·   [email@institution.edu]</w:t>
      </w:r>
    </w:p>
    <w:p>
      <w:pPr>
        <w:spacing w:before="200" w:after="80"/>
        <w:jc w:val="center"/>
      </w:pPr>
      <w:r>
        <w:rPr>
          <w:rFonts w:ascii="Times New Roman" w:hAnsi="Times New Roman"/>
          <w:b/>
          <w:i w:val="0"/>
          <w:sz w:val="20"/>
        </w:rPr>
        <w:t>Abstract</w:t>
      </w:r>
    </w:p>
    <w:p>
      <w:pPr>
        <w:spacing w:before="0" w:after="80"/>
        <w:jc w:val="both"/>
      </w:pPr>
      <w:r>
        <w:rPr>
          <w:rFonts w:ascii="Times New Roman" w:hAnsi="Times New Roman"/>
          <w:b w:val="0"/>
          <w:i w:val="0"/>
          <w:sz w:val="20"/>
        </w:rPr>
        <w:t>The Internet of Medical Things (IoMT) generates continuous, latency-sensitive streams of patient data that must be processed with high reliability and robust security. Edge-cloud offloading frameworks address the computational constraints of resource-limited IoMT devices, yet existing approaches treat all edge nodes as equally trustworthy — leaving sensitive medical workloads exposed to Byzantine failures, node spoofing, and data-injection attacks. This paper presents TAHTO (Trust-Aware Hybrid Task Offloading), a framework that integrates a continuously updated XGBoost-based trust classifier with a formal min-max-normalised multi-objective scheduling function. TAHTO enforces a hard trust gate (T(n) &lt; 0.50), a stricter threshold for High-sensitivity tasks (T(n) &lt; 0.70), and bandwidth-aware cloud escalation under queue saturation. Evaluated across six adversarial scenarios against three baselines over 10 independent seeds, TAHTO achieves up to 99.78% malicious-node avoidance, scheduling overhead consistently below 25 µs, and online trust classification F1 of 0.993 ± 0.010 in the most realistic mixed-threat scenario (S5). The complete simulation codebase is publicly available for reproducibility.</w:t>
      </w:r>
    </w:p>
    <w:p>
      <w:pPr>
        <w:spacing w:after="280"/>
      </w:pPr>
      <w:r>
        <w:rPr>
          <w:rFonts w:ascii="Times New Roman" w:hAnsi="Times New Roman"/>
          <w:b/>
          <w:i w:val="0"/>
          <w:sz w:val="20"/>
        </w:rPr>
        <w:t xml:space="preserve">Keywords — </w:t>
      </w:r>
      <w:r>
        <w:rPr>
          <w:rFonts w:ascii="Times New Roman" w:hAnsi="Times New Roman"/>
          <w:b w:val="0"/>
          <w:i/>
          <w:sz w:val="20"/>
        </w:rPr>
        <w:t>IoMT; task offloading; trust management; edge computing; XGBoost; healthcare security; cloud escalation; zero-trust architecture</w:t>
      </w:r>
    </w:p>
    <w:p>
      <w:pPr>
        <w:sectPr>
          <w:pgSz w:w="12240" w:h="15840"/>
          <w:pgMar w:top="1080" w:right="900" w:bottom="1440" w:left="900" w:header="720" w:footer="720" w:gutter="0"/>
          <w:docGrid w:linePitch="360"/>
          <w:cols w:num="1"/>
        </w:sectPr>
      </w:pPr>
    </w:p>
    <w:p>
      <w:pPr>
        <w:spacing w:before="200" w:after="80"/>
        <w:jc w:val="left"/>
      </w:pPr>
      <w:r>
        <w:rPr>
          <w:rFonts w:ascii="Times New Roman" w:hAnsi="Times New Roman"/>
          <w:b/>
          <w:i w:val="0"/>
          <w:sz w:val="20"/>
        </w:rPr>
        <w:t>I.  Introduction</w:t>
      </w:r>
    </w:p>
    <w:p>
      <w:pPr>
        <w:spacing w:before="0" w:after="80"/>
        <w:ind w:firstLine="288"/>
        <w:jc w:val="both"/>
      </w:pPr>
      <w:r>
        <w:rPr>
          <w:rFonts w:ascii="Times New Roman" w:hAnsi="Times New Roman"/>
          <w:b w:val="0"/>
          <w:i w:val="0"/>
          <w:sz w:val="20"/>
        </w:rPr>
        <w:t>The Internet of Medical Things (IoMT) is transforming healthcare by enabling wearable sensors, ECG monitors, and portable diagnostic devices to collect and transmit patient vitals in real time [1]. As IoMT deployments scale to thousands of devices per clinical site, the computational demands of biosignal analysis, anomaly detection, and AI-driven diagnostics far exceed the on-device processing capacity of resource-constrained endpoints [2].</w:t>
      </w:r>
    </w:p>
    <w:p>
      <w:pPr>
        <w:spacing w:before="0" w:after="80"/>
        <w:ind w:firstLine="288"/>
        <w:jc w:val="both"/>
      </w:pPr>
      <w:r>
        <w:rPr>
          <w:rFonts w:ascii="Times New Roman" w:hAnsi="Times New Roman"/>
          <w:b w:val="0"/>
          <w:i w:val="0"/>
          <w:sz w:val="20"/>
        </w:rPr>
        <w:t>Computational offloading to edge and cloud servers addresses this gap. Time-sensitive tasks run on nearby edge nodes for low-latency response; compute-intensive analytics are delegated to the cloud [3]. However, edge nodes in clinical environments — corridor gateways, ward servers, embedded controllers — face physical and cyber threats. A compromised node may silently corrupt task outputs (data injection), impersonate a legitimate node (spoofing), or deny service through resource exhaustion [5].</w:t>
      </w:r>
    </w:p>
    <w:p>
      <w:pPr>
        <w:spacing w:before="0" w:after="80"/>
        <w:ind w:firstLine="288"/>
        <w:jc w:val="both"/>
      </w:pPr>
      <w:r>
        <w:rPr>
          <w:rFonts w:ascii="Times New Roman" w:hAnsi="Times New Roman"/>
          <w:b w:val="0"/>
          <w:i w:val="0"/>
          <w:sz w:val="20"/>
        </w:rPr>
        <w:t>Existing offloading frameworks optimise for latency, energy, and QoS, but treat all edge nodes as equally trustworthy. Static reputation systems assign fixed scores that cannot adapt after an attack begins; pure zero-trust approaches route everything to the cloud, eliminating the latency advantage of edge computing entirely [4]. TAHTO fills this gap.</w:t>
      </w:r>
    </w:p>
    <w:p>
      <w:pPr>
        <w:spacing w:before="0" w:after="80"/>
        <w:ind w:firstLine="288"/>
        <w:jc w:val="both"/>
      </w:pPr>
      <w:r>
        <w:rPr>
          <w:rFonts w:ascii="Times New Roman" w:hAnsi="Times New Roman"/>
          <w:b w:val="0"/>
          <w:i w:val="0"/>
          <w:sz w:val="20"/>
        </w:rPr>
        <w:t>TAHTO continuously predicts node trustworthiness from a 9-dimensional real-time telemetry vector using a lightweight XGBoost classifier, and integrates predicted trust into a formal min-max-normalised scheduling score. A hard trust gate filters untrustworthy nodes before any routing decision. The model is retrained online after each monitoring window so it adapts as attack patterns evolve — a key advantage over static-reputation baselines. The main contributions are:</w:t>
      </w:r>
    </w:p>
    <w:p>
      <w:pPr>
        <w:spacing w:before="0" w:after="40"/>
        <w:ind w:firstLine="360"/>
        <w:jc w:val="both"/>
      </w:pPr>
      <w:r>
        <w:rPr>
          <w:rFonts w:ascii="Times New Roman" w:hAnsi="Times New Roman"/>
          <w:b w:val="0"/>
          <w:i w:val="0"/>
          <w:sz w:val="20"/>
        </w:rPr>
        <w:t>(1) A formal multi-objective scheduling function with min-max normalisation, jointly optimising latency, energy, QoS, and real-time trust.</w:t>
      </w:r>
    </w:p>
    <w:p>
      <w:pPr>
        <w:spacing w:before="0" w:after="40"/>
        <w:ind w:firstLine="360"/>
        <w:jc w:val="both"/>
      </w:pPr>
      <w:r>
        <w:rPr>
          <w:rFonts w:ascii="Times New Roman" w:hAnsi="Times New Roman"/>
          <w:b w:val="0"/>
          <w:i w:val="0"/>
          <w:sz w:val="20"/>
        </w:rPr>
        <w:t>(2) An online-adaptive XGBoost trust pipeline: initial fit on historical calibration data, then periodic retraining on completed monitoring windows so trust scores adapt after attack onset.</w:t>
      </w:r>
    </w:p>
    <w:p>
      <w:pPr>
        <w:spacing w:before="0" w:after="40"/>
        <w:ind w:firstLine="360"/>
        <w:jc w:val="both"/>
      </w:pPr>
      <w:r>
        <w:rPr>
          <w:rFonts w:ascii="Times New Roman" w:hAnsi="Times New Roman"/>
          <w:b w:val="0"/>
          <w:i w:val="0"/>
          <w:sz w:val="20"/>
        </w:rPr>
        <w:t>(3) A bandwidth-aware cloud escalation policy triggered by trust gate failure or queue saturation — preventing hot-spotting in worst-case scenarios.</w:t>
      </w:r>
    </w:p>
    <w:p>
      <w:pPr>
        <w:spacing w:before="0" w:after="40"/>
        <w:ind w:firstLine="360"/>
        <w:jc w:val="both"/>
      </w:pPr>
      <w:r>
        <w:rPr>
          <w:rFonts w:ascii="Times New Roman" w:hAnsi="Times New Roman"/>
          <w:b w:val="0"/>
          <w:i w:val="0"/>
          <w:sz w:val="20"/>
        </w:rPr>
        <w:t>(4) A rigorous multi-seed evaluation (10 seeds) across six adversarial scenarios reporting mean ± SD for all metrics.</w:t>
      </w:r>
    </w:p>
    <w:p>
      <w:pPr>
        <w:spacing w:before="0" w:after="40"/>
        <w:ind w:firstLine="360"/>
        <w:jc w:val="both"/>
      </w:pPr>
      <w:r>
        <w:rPr>
          <w:rFonts w:ascii="Times New Roman" w:hAnsi="Times New Roman"/>
          <w:b w:val="0"/>
          <w:i w:val="0"/>
          <w:sz w:val="20"/>
        </w:rPr>
        <w:t>(5) A fully reproducible, open-source Python discrete-event simulation codebase.</w:t>
      </w:r>
    </w:p>
    <w:p>
      <w:pPr>
        <w:spacing w:before="200" w:after="80"/>
        <w:jc w:val="left"/>
      </w:pPr>
      <w:r>
        <w:rPr>
          <w:rFonts w:ascii="Times New Roman" w:hAnsi="Times New Roman"/>
          <w:b/>
          <w:i w:val="0"/>
          <w:sz w:val="20"/>
        </w:rPr>
        <w:t>II.  Related Work</w:t>
      </w:r>
    </w:p>
    <w:p>
      <w:pPr>
        <w:spacing w:before="140" w:after="60"/>
        <w:jc w:val="left"/>
      </w:pPr>
      <w:r>
        <w:rPr>
          <w:rFonts w:ascii="Times New Roman" w:hAnsi="Times New Roman"/>
          <w:b/>
          <w:i/>
          <w:sz w:val="20"/>
        </w:rPr>
        <w:t>A.  Hybrid Task Offloading in IoMT</w:t>
      </w:r>
    </w:p>
    <w:p>
      <w:pPr>
        <w:spacing w:before="0" w:after="80"/>
        <w:ind w:firstLine="288"/>
        <w:jc w:val="both"/>
      </w:pPr>
      <w:r>
        <w:rPr>
          <w:rFonts w:ascii="Times New Roman" w:hAnsi="Times New Roman"/>
          <w:b w:val="0"/>
          <w:i w:val="0"/>
          <w:sz w:val="20"/>
        </w:rPr>
        <w:t>Khan et al. [Base] proposed GA+PSO+GNN hybrid offloading that reduces latency and energy in healthcare edge-cloud systems, but assumes all edge nodes are benign. Pal et al. introduced IoT-SCOM for latency-minimised service offloading; Putra et al. proposed Federated Learning for secure IoMT diagnostics. Both approaches address performance or data-level privacy but do not model node-level trustworthiness or integrate trust into task scheduling decisions.</w:t>
      </w:r>
    </w:p>
    <w:p>
      <w:pPr>
        <w:spacing w:before="140" w:after="60"/>
        <w:jc w:val="left"/>
      </w:pPr>
      <w:r>
        <w:rPr>
          <w:rFonts w:ascii="Times New Roman" w:hAnsi="Times New Roman"/>
          <w:b/>
          <w:i/>
          <w:sz w:val="20"/>
        </w:rPr>
        <w:t>B.  Trust Management and Zero-Trust</w:t>
      </w:r>
    </w:p>
    <w:p>
      <w:pPr>
        <w:spacing w:before="0" w:after="80"/>
        <w:ind w:firstLine="288"/>
        <w:jc w:val="both"/>
      </w:pPr>
      <w:r>
        <w:rPr>
          <w:rFonts w:ascii="Times New Roman" w:hAnsi="Times New Roman"/>
          <w:b w:val="0"/>
          <w:i w:val="0"/>
          <w:sz w:val="20"/>
        </w:rPr>
        <w:t>Khan et al. [4] surveyed trust management in Social IoT, identifying static reputation as the dominant paradigm — insufficient against dynamic Byzantine conditions where attackers gradually compromise legitimate nodes. NIST SP 800-207 [6] formalises Zero-Trust as continuous per-resource verification without implicit trust. Zhang et al. [7] demonstrated XGBoost for network intrusion detection with sub-millisecond inference latency. Our work applies this directly to edge-node trust scoring integrated into task routing — not addressed by federated IoT security surveys [8].</w:t>
      </w:r>
    </w:p>
    <w:p>
      <w:pPr>
        <w:spacing w:before="140" w:after="60"/>
        <w:jc w:val="left"/>
      </w:pPr>
      <w:r>
        <w:rPr>
          <w:rFonts w:ascii="Times New Roman" w:hAnsi="Times New Roman"/>
          <w:b/>
          <w:i/>
          <w:sz w:val="20"/>
        </w:rPr>
        <w:t>C.  Research Gap</w:t>
      </w:r>
    </w:p>
    <w:p>
      <w:pPr>
        <w:spacing w:before="0" w:after="80"/>
        <w:ind w:firstLine="288"/>
        <w:jc w:val="both"/>
      </w:pPr>
      <w:r>
        <w:rPr>
          <w:rFonts w:ascii="Times New Roman" w:hAnsi="Times New Roman"/>
          <w:b w:val="0"/>
          <w:i w:val="0"/>
          <w:sz w:val="20"/>
        </w:rPr>
        <w:t>No existing work simultaneously addresses: (i) online-adaptive ML-based edge trust prediction that updates after attack onset, (ii) formal integration of trust into a normalised multi-objective scheduler, (iii) adaptive cloud escalation under combined failures and adversarial conditions, and (iv) rigorous multi-seed (10-seed) statistical evaluation across six structured scenarios. TAHTO addresses all four dimensions.</w:t>
      </w:r>
    </w:p>
    <w:p>
      <w:pPr>
        <w:spacing w:before="200" w:after="80"/>
        <w:jc w:val="left"/>
      </w:pPr>
      <w:r>
        <w:rPr>
          <w:rFonts w:ascii="Times New Roman" w:hAnsi="Times New Roman"/>
          <w:b/>
          <w:i w:val="0"/>
          <w:sz w:val="20"/>
        </w:rPr>
        <w:t>III.  Threat Model</w:t>
      </w:r>
    </w:p>
    <w:p>
      <w:pPr>
        <w:spacing w:before="0" w:after="80"/>
        <w:ind w:firstLine="288"/>
        <w:jc w:val="both"/>
      </w:pPr>
      <w:r>
        <w:rPr>
          <w:rFonts w:ascii="Times New Roman" w:hAnsi="Times New Roman"/>
          <w:b w:val="0"/>
          <w:i w:val="0"/>
          <w:sz w:val="20"/>
        </w:rPr>
        <w:t>We model an IoMT edge-cloud environment with M = 50 IoMT devices offloading tasks to N = 5 heterogeneous edge nodes. The adversary controls at most 2 of 5 nodes. In S5 and S6, attackers behave normally for the first 20 seconds, then switch to adversarial behaviour — modelling realistic slow-onset compromise rather than instantaneous attack. The cloud server is unconditionally trusted (secure data centre with full authentication controls).</w:t>
      </w:r>
    </w:p>
    <w:p>
      <w:pPr>
        <w:spacing w:before="160" w:after="60"/>
        <w:jc w:val="center"/>
      </w:pPr>
      <w:r>
        <w:rPr>
          <w:rFonts w:ascii="Times New Roman" w:hAnsi="Times New Roman"/>
          <w:b/>
          <w:i w:val="0"/>
          <w:sz w:val="16"/>
        </w:rPr>
        <w:t>TABLE I.  Modelled Attack Types</w:t>
      </w:r>
    </w:p>
    <w:tbl>
      <w:tblPr>
        <w:tblStyle w:val="TableGrid"/>
        <w:tblW w:type="auto" w:w="0"/>
        <w:tblLook w:firstColumn="1" w:firstRow="1" w:lastColumn="0" w:lastRow="0" w:noHBand="0" w:noVBand="1" w:val="04A0"/>
      </w:tblPr>
      <w:tblGrid>
        <w:gridCol w:w="3480"/>
        <w:gridCol w:w="3480"/>
        <w:gridCol w:w="3480"/>
      </w:tblGrid>
      <w:tr>
        <w:tc>
          <w:tcPr>
            <w:tcW w:type="dxa" w:w="3480"/>
          </w:tcPr>
          <w:p>
            <w:pPr>
              <w:jc w:val="center"/>
            </w:pPr>
            <w:r>
              <w:rPr>
                <w:rFonts w:ascii="Times New Roman" w:hAnsi="Times New Roman"/>
                <w:b/>
                <w:sz w:val="16"/>
              </w:rPr>
              <w:t>Attack</w:t>
            </w:r>
          </w:p>
        </w:tc>
        <w:tc>
          <w:tcPr>
            <w:tcW w:type="dxa" w:w="3480"/>
          </w:tcPr>
          <w:p>
            <w:pPr>
              <w:jc w:val="center"/>
            </w:pPr>
            <w:r>
              <w:rPr>
                <w:rFonts w:ascii="Times New Roman" w:hAnsi="Times New Roman"/>
                <w:b/>
                <w:sz w:val="16"/>
              </w:rPr>
              <w:t>Node Behaviour</w:t>
            </w:r>
          </w:p>
        </w:tc>
        <w:tc>
          <w:tcPr>
            <w:tcW w:type="dxa" w:w="3480"/>
          </w:tcPr>
          <w:p>
            <w:pPr>
              <w:jc w:val="center"/>
            </w:pPr>
            <w:r>
              <w:rPr>
                <w:rFonts w:ascii="Times New Roman" w:hAnsi="Times New Roman"/>
                <w:b/>
                <w:sz w:val="16"/>
              </w:rPr>
              <w:t>Observable Telemetry Signal</w:t>
            </w:r>
          </w:p>
        </w:tc>
      </w:tr>
      <w:tr>
        <w:tc>
          <w:tcPr>
            <w:tcW w:type="dxa" w:w="3480"/>
          </w:tcPr>
          <w:p>
            <w:pPr>
              <w:jc w:val="left"/>
            </w:pPr>
            <w:r>
              <w:rPr>
                <w:rFonts w:ascii="Times New Roman" w:hAnsi="Times New Roman"/>
                <w:sz w:val="16"/>
              </w:rPr>
              <w:t>Byzantine</w:t>
            </w:r>
          </w:p>
        </w:tc>
        <w:tc>
          <w:tcPr>
            <w:tcW w:type="dxa" w:w="3480"/>
          </w:tcPr>
          <w:p>
            <w:pPr>
              <w:jc w:val="left"/>
            </w:pPr>
            <w:r>
              <w:rPr>
                <w:rFonts w:ascii="Times New Roman" w:hAnsi="Times New Roman"/>
                <w:sz w:val="16"/>
              </w:rPr>
              <w:t>Returns incorrect results while appearing operational</w:t>
            </w:r>
          </w:p>
        </w:tc>
        <w:tc>
          <w:tcPr>
            <w:tcW w:type="dxa" w:w="3480"/>
          </w:tcPr>
          <w:p>
            <w:pPr>
              <w:jc w:val="left"/>
            </w:pPr>
            <w:r>
              <w:rPr>
                <w:rFonts w:ascii="Times New Roman" w:hAnsi="Times New Roman"/>
                <w:sz w:val="16"/>
              </w:rPr>
              <w:t>High failure rate; anomalous CPU pattern</w:t>
            </w:r>
          </w:p>
        </w:tc>
      </w:tr>
      <w:tr>
        <w:tc>
          <w:tcPr>
            <w:tcW w:type="dxa" w:w="3480"/>
          </w:tcPr>
          <w:p>
            <w:pPr>
              <w:jc w:val="left"/>
            </w:pPr>
            <w:r>
              <w:rPr>
                <w:rFonts w:ascii="Times New Roman" w:hAnsi="Times New Roman"/>
                <w:sz w:val="16"/>
              </w:rPr>
              <w:t>Spoofing</w:t>
            </w:r>
          </w:p>
        </w:tc>
        <w:tc>
          <w:tcPr>
            <w:tcW w:type="dxa" w:w="3480"/>
          </w:tcPr>
          <w:p>
            <w:pPr>
              <w:jc w:val="left"/>
            </w:pPr>
            <w:r>
              <w:rPr>
                <w:rFonts w:ascii="Times New Roman" w:hAnsi="Times New Roman"/>
                <w:sz w:val="16"/>
              </w:rPr>
              <w:t>Impersonates a legitimate node identity</w:t>
            </w:r>
          </w:p>
        </w:tc>
        <w:tc>
          <w:tcPr>
            <w:tcW w:type="dxa" w:w="3480"/>
          </w:tcPr>
          <w:p>
            <w:pPr>
              <w:jc w:val="left"/>
            </w:pPr>
            <w:r>
              <w:rPr>
                <w:rFonts w:ascii="Times New Roman" w:hAnsi="Times New Roman"/>
                <w:sz w:val="16"/>
              </w:rPr>
              <w:t>Auth failures; unexpected latency spikes</w:t>
            </w:r>
          </w:p>
        </w:tc>
      </w:tr>
      <w:tr>
        <w:tc>
          <w:tcPr>
            <w:tcW w:type="dxa" w:w="3480"/>
          </w:tcPr>
          <w:p>
            <w:pPr>
              <w:jc w:val="left"/>
            </w:pPr>
            <w:r>
              <w:rPr>
                <w:rFonts w:ascii="Times New Roman" w:hAnsi="Times New Roman"/>
                <w:sz w:val="16"/>
              </w:rPr>
              <w:t>Data Injection</w:t>
            </w:r>
          </w:p>
        </w:tc>
        <w:tc>
          <w:tcPr>
            <w:tcW w:type="dxa" w:w="3480"/>
          </w:tcPr>
          <w:p>
            <w:pPr>
              <w:jc w:val="left"/>
            </w:pPr>
            <w:r>
              <w:rPr>
                <w:rFonts w:ascii="Times New Roman" w:hAnsi="Times New Roman"/>
                <w:sz w:val="16"/>
              </w:rPr>
              <w:t>Silently corrupts task outputs</w:t>
            </w:r>
          </w:p>
        </w:tc>
        <w:tc>
          <w:tcPr>
            <w:tcW w:type="dxa" w:w="3480"/>
          </w:tcPr>
          <w:p>
            <w:pPr>
              <w:jc w:val="left"/>
            </w:pPr>
            <w:r>
              <w:rPr>
                <w:rFonts w:ascii="Times New Roman" w:hAnsi="Times New Roman"/>
                <w:sz w:val="16"/>
              </w:rPr>
              <w:t>Elevated IDS alerts; bad output checksums</w:t>
            </w:r>
          </w:p>
        </w:tc>
      </w:tr>
      <w:tr>
        <w:tc>
          <w:tcPr>
            <w:tcW w:type="dxa" w:w="3480"/>
          </w:tcPr>
          <w:p>
            <w:pPr>
              <w:jc w:val="left"/>
            </w:pPr>
            <w:r>
              <w:rPr>
                <w:rFonts w:ascii="Times New Roman" w:hAnsi="Times New Roman"/>
                <w:sz w:val="16"/>
              </w:rPr>
              <w:t>Res. Exhaustion</w:t>
            </w:r>
          </w:p>
        </w:tc>
        <w:tc>
          <w:tcPr>
            <w:tcW w:type="dxa" w:w="3480"/>
          </w:tcPr>
          <w:p>
            <w:pPr>
              <w:jc w:val="left"/>
            </w:pPr>
            <w:r>
              <w:rPr>
                <w:rFonts w:ascii="Times New Roman" w:hAnsi="Times New Roman"/>
                <w:sz w:val="16"/>
              </w:rPr>
              <w:t>Floods resources to deny service</w:t>
            </w:r>
          </w:p>
        </w:tc>
        <w:tc>
          <w:tcPr>
            <w:tcW w:type="dxa" w:w="3480"/>
          </w:tcPr>
          <w:p>
            <w:pPr>
              <w:jc w:val="left"/>
            </w:pPr>
            <w:r>
              <w:rPr>
                <w:rFonts w:ascii="Times New Roman" w:hAnsi="Times New Roman"/>
                <w:sz w:val="16"/>
              </w:rPr>
              <w:t>Queue saturation; packet-loss spike</w:t>
            </w:r>
          </w:p>
        </w:tc>
      </w:tr>
    </w:tbl>
    <w:p>
      <w:pPr>
        <w:spacing w:before="0" w:after="120"/>
        <w:ind w:firstLine="288"/>
        <w:jc w:val="both"/>
      </w:pPr>
    </w:p>
    <w:p>
      <w:pPr>
        <w:spacing w:before="0" w:after="80"/>
        <w:ind w:firstLine="288"/>
        <w:jc w:val="both"/>
      </w:pPr>
      <w:r>
        <w:rPr>
          <w:rFonts w:ascii="Times New Roman" w:hAnsi="Times New Roman"/>
          <w:b w:val="0"/>
          <w:i w:val="0"/>
          <w:sz w:val="20"/>
        </w:rPr>
        <w:t>TAHTO defends against compromised edge nodes; transmission-layer attacks are out of scope. The 20-second delayed attack onset ensures the static reputation baseline (B2) starts with historically accurate scores — making the comparison fair rather than artificially favouring TAHTO.</w:t>
      </w:r>
    </w:p>
    <w:p>
      <w:pPr>
        <w:spacing w:before="200" w:after="80"/>
        <w:jc w:val="left"/>
      </w:pPr>
      <w:r>
        <w:rPr>
          <w:rFonts w:ascii="Times New Roman" w:hAnsi="Times New Roman"/>
          <w:b/>
          <w:i w:val="0"/>
          <w:sz w:val="20"/>
        </w:rPr>
        <w:t>IV.  System Architecture</w:t>
      </w:r>
    </w:p>
    <w:p>
      <w:pPr>
        <w:spacing w:before="0" w:after="80"/>
        <w:ind w:firstLine="288"/>
        <w:jc w:val="both"/>
      </w:pPr>
      <w:r>
        <w:rPr>
          <w:rFonts w:ascii="Times New Roman" w:hAnsi="Times New Roman"/>
          <w:b w:val="0"/>
          <w:i w:val="0"/>
          <w:sz w:val="20"/>
        </w:rPr>
        <w:t>TAHTO operates across a three-layer hierarchy illustrated in Fig. 1. Layer 1 — IoMT Device Layer: Wearable sensors and monitors generate tasks characterised by data size d_i (KB), CPU cycles c_i, deadline τ_i (ms), and sensitivity label s_i ∈ {Low, Medium, High}. Layer 2 — Edge Computing Layer: Five heterogeneous edge nodes expose real-time 9-feature telemetry (Table II). The Trust Prediction Engine produces score T(n) ∈ [0, 1] per node; the TAHTO Scheduler integrates trust with performance metrics. Layer 3 — Cloud Layer: High-capacity cloud server (L_cloud = 100 ms) serves as the unconditionally trusted escalation target.</w:t>
      </w:r>
    </w:p>
    <w:p>
      <w:pPr>
        <w:sectPr>
          <w:type w:val="continuous"/>
          <w:pgSz w:w="12240" w:h="15840"/>
          <w:pgMar w:top="1080" w:right="900" w:bottom="1440" w:left="900" w:header="720" w:footer="720" w:gutter="0"/>
          <w:docGrid w:linePitch="360"/>
          <w:cols w:num="2" w:space="720"/>
        </w:sectPr>
      </w:pPr>
    </w:p>
    <w:p>
      <w:pPr>
        <w:spacing w:before="80" w:after="0"/>
        <w:jc w:val="center"/>
      </w:pPr>
      <w:r>
        <w:drawing>
          <wp:inline xmlns:a="http://schemas.openxmlformats.org/drawingml/2006/main" xmlns:pic="http://schemas.openxmlformats.org/drawingml/2006/picture">
            <wp:extent cx="5943600" cy="3489820"/>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5943600" cy="3489820"/>
                    </a:xfrm>
                    <a:prstGeom prst="rect"/>
                  </pic:spPr>
                </pic:pic>
              </a:graphicData>
            </a:graphic>
          </wp:inline>
        </w:drawing>
      </w:r>
    </w:p>
    <w:p>
      <w:pPr>
        <w:spacing w:before="60" w:after="200"/>
        <w:jc w:val="center"/>
      </w:pPr>
      <w:r>
        <w:rPr>
          <w:rFonts w:ascii="Times New Roman" w:hAnsi="Times New Roman"/>
          <w:b w:val="0"/>
          <w:i/>
          <w:sz w:val="18"/>
        </w:rPr>
        <w:t>Fig. 1.  TAHTO System Architecture. IoMT devices offload tasks to the Trust Prediction Engine and TAHTO Scheduler (Edge Layer). Tasks are routed to trusted edge nodes or escalated to the cloud when no safe edge node exists.</w:t>
      </w:r>
    </w:p>
    <w:p>
      <w:pPr>
        <w:sectPr>
          <w:type w:val="continuous"/>
          <w:pgSz w:w="12240" w:h="15840"/>
          <w:pgMar w:top="1080" w:right="900" w:bottom="1440" w:left="900" w:header="720" w:footer="720" w:gutter="0"/>
          <w:docGrid w:linePitch="360"/>
          <w:cols w:num="1"/>
        </w:sectPr>
      </w:pPr>
    </w:p>
    <w:p>
      <w:pPr>
        <w:spacing w:before="160" w:after="60"/>
        <w:jc w:val="center"/>
      </w:pPr>
      <w:r>
        <w:rPr>
          <w:rFonts w:ascii="Times New Roman" w:hAnsi="Times New Roman"/>
          <w:b/>
          <w:i w:val="0"/>
          <w:sz w:val="16"/>
        </w:rPr>
        <w:t>TABLE II.  9-Feature Trust Telemetry Vector (per Edge Node)</w:t>
      </w:r>
    </w:p>
    <w:tbl>
      <w:tblPr>
        <w:tblStyle w:val="TableGrid"/>
        <w:tblW w:type="auto" w:w="0"/>
        <w:tblLook w:firstColumn="1" w:firstRow="1" w:lastColumn="0" w:lastRow="0" w:noHBand="0" w:noVBand="1" w:val="04A0"/>
      </w:tblPr>
      <w:tblGrid>
        <w:gridCol w:w="3480"/>
        <w:gridCol w:w="3480"/>
        <w:gridCol w:w="3480"/>
      </w:tblGrid>
      <w:tr>
        <w:tc>
          <w:tcPr>
            <w:tcW w:type="dxa" w:w="3480"/>
          </w:tcPr>
          <w:p>
            <w:pPr>
              <w:jc w:val="center"/>
            </w:pPr>
            <w:r>
              <w:rPr>
                <w:rFonts w:ascii="Times New Roman" w:hAnsi="Times New Roman"/>
                <w:b/>
                <w:sz w:val="16"/>
              </w:rPr>
              <w:t>#</w:t>
            </w:r>
          </w:p>
        </w:tc>
        <w:tc>
          <w:tcPr>
            <w:tcW w:type="dxa" w:w="3480"/>
          </w:tcPr>
          <w:p>
            <w:pPr>
              <w:jc w:val="center"/>
            </w:pPr>
            <w:r>
              <w:rPr>
                <w:rFonts w:ascii="Times New Roman" w:hAnsi="Times New Roman"/>
                <w:b/>
                <w:sz w:val="16"/>
              </w:rPr>
              <w:t>Feature</w:t>
            </w:r>
          </w:p>
        </w:tc>
        <w:tc>
          <w:tcPr>
            <w:tcW w:type="dxa" w:w="3480"/>
          </w:tcPr>
          <w:p>
            <w:pPr>
              <w:jc w:val="center"/>
            </w:pPr>
            <w:r>
              <w:rPr>
                <w:rFonts w:ascii="Times New Roman" w:hAnsi="Times New Roman"/>
                <w:b/>
                <w:sz w:val="16"/>
              </w:rPr>
              <w:t>Description</w:t>
            </w:r>
          </w:p>
        </w:tc>
      </w:tr>
      <w:tr>
        <w:tc>
          <w:tcPr>
            <w:tcW w:type="dxa" w:w="3480"/>
          </w:tcPr>
          <w:p>
            <w:pPr>
              <w:jc w:val="left"/>
            </w:pPr>
            <w:r>
              <w:rPr>
                <w:rFonts w:ascii="Times New Roman" w:hAnsi="Times New Roman"/>
                <w:sz w:val="16"/>
              </w:rPr>
              <w:t>1</w:t>
            </w:r>
          </w:p>
        </w:tc>
        <w:tc>
          <w:tcPr>
            <w:tcW w:type="dxa" w:w="3480"/>
          </w:tcPr>
          <w:p>
            <w:pPr>
              <w:jc w:val="left"/>
            </w:pPr>
            <w:r>
              <w:rPr>
                <w:rFonts w:ascii="Times New Roman" w:hAnsi="Times New Roman"/>
                <w:sz w:val="16"/>
              </w:rPr>
              <w:t>CPU Utilisation</w:t>
            </w:r>
          </w:p>
        </w:tc>
        <w:tc>
          <w:tcPr>
            <w:tcW w:type="dxa" w:w="3480"/>
          </w:tcPr>
          <w:p>
            <w:pPr>
              <w:jc w:val="left"/>
            </w:pPr>
            <w:r>
              <w:rPr>
                <w:rFonts w:ascii="Times New Roman" w:hAnsi="Times New Roman"/>
                <w:sz w:val="16"/>
              </w:rPr>
              <w:t>Current CPU load (%)</w:t>
            </w:r>
          </w:p>
        </w:tc>
      </w:tr>
      <w:tr>
        <w:tc>
          <w:tcPr>
            <w:tcW w:type="dxa" w:w="3480"/>
          </w:tcPr>
          <w:p>
            <w:pPr>
              <w:jc w:val="left"/>
            </w:pPr>
            <w:r>
              <w:rPr>
                <w:rFonts w:ascii="Times New Roman" w:hAnsi="Times New Roman"/>
                <w:sz w:val="16"/>
              </w:rPr>
              <w:t>2</w:t>
            </w:r>
          </w:p>
        </w:tc>
        <w:tc>
          <w:tcPr>
            <w:tcW w:type="dxa" w:w="3480"/>
          </w:tcPr>
          <w:p>
            <w:pPr>
              <w:jc w:val="left"/>
            </w:pPr>
            <w:r>
              <w:rPr>
                <w:rFonts w:ascii="Times New Roman" w:hAnsi="Times New Roman"/>
                <w:sz w:val="16"/>
              </w:rPr>
              <w:t>Memory Utilisation</w:t>
            </w:r>
          </w:p>
        </w:tc>
        <w:tc>
          <w:tcPr>
            <w:tcW w:type="dxa" w:w="3480"/>
          </w:tcPr>
          <w:p>
            <w:pPr>
              <w:jc w:val="left"/>
            </w:pPr>
            <w:r>
              <w:rPr>
                <w:rFonts w:ascii="Times New Roman" w:hAnsi="Times New Roman"/>
                <w:sz w:val="16"/>
              </w:rPr>
              <w:t>Current RAM usage (%)</w:t>
            </w:r>
          </w:p>
        </w:tc>
      </w:tr>
      <w:tr>
        <w:tc>
          <w:tcPr>
            <w:tcW w:type="dxa" w:w="3480"/>
          </w:tcPr>
          <w:p>
            <w:pPr>
              <w:jc w:val="left"/>
            </w:pPr>
            <w:r>
              <w:rPr>
                <w:rFonts w:ascii="Times New Roman" w:hAnsi="Times New Roman"/>
                <w:sz w:val="16"/>
              </w:rPr>
              <w:t>3</w:t>
            </w:r>
          </w:p>
        </w:tc>
        <w:tc>
          <w:tcPr>
            <w:tcW w:type="dxa" w:w="3480"/>
          </w:tcPr>
          <w:p>
            <w:pPr>
              <w:jc w:val="left"/>
            </w:pPr>
            <w:r>
              <w:rPr>
                <w:rFonts w:ascii="Times New Roman" w:hAnsi="Times New Roman"/>
                <w:sz w:val="16"/>
              </w:rPr>
              <w:t>Queue Length</w:t>
            </w:r>
          </w:p>
        </w:tc>
        <w:tc>
          <w:tcPr>
            <w:tcW w:type="dxa" w:w="3480"/>
          </w:tcPr>
          <w:p>
            <w:pPr>
              <w:jc w:val="left"/>
            </w:pPr>
            <w:r>
              <w:rPr>
                <w:rFonts w:ascii="Times New Roman" w:hAnsi="Times New Roman"/>
                <w:sz w:val="16"/>
              </w:rPr>
              <w:t>Number of pending in-flight tasks</w:t>
            </w:r>
          </w:p>
        </w:tc>
      </w:tr>
      <w:tr>
        <w:tc>
          <w:tcPr>
            <w:tcW w:type="dxa" w:w="3480"/>
          </w:tcPr>
          <w:p>
            <w:pPr>
              <w:jc w:val="left"/>
            </w:pPr>
            <w:r>
              <w:rPr>
                <w:rFonts w:ascii="Times New Roman" w:hAnsi="Times New Roman"/>
                <w:sz w:val="16"/>
              </w:rPr>
              <w:t>4</w:t>
            </w:r>
          </w:p>
        </w:tc>
        <w:tc>
          <w:tcPr>
            <w:tcW w:type="dxa" w:w="3480"/>
          </w:tcPr>
          <w:p>
            <w:pPr>
              <w:jc w:val="left"/>
            </w:pPr>
            <w:r>
              <w:rPr>
                <w:rFonts w:ascii="Times New Roman" w:hAnsi="Times New Roman"/>
                <w:sz w:val="16"/>
              </w:rPr>
              <w:t>Network Latency</w:t>
            </w:r>
          </w:p>
        </w:tc>
        <w:tc>
          <w:tcPr>
            <w:tcW w:type="dxa" w:w="3480"/>
          </w:tcPr>
          <w:p>
            <w:pPr>
              <w:jc w:val="left"/>
            </w:pPr>
            <w:r>
              <w:rPr>
                <w:rFonts w:ascii="Times New Roman" w:hAnsi="Times New Roman"/>
                <w:sz w:val="16"/>
              </w:rPr>
              <w:t>Round-trip latency to controller (ms)</w:t>
            </w:r>
          </w:p>
        </w:tc>
      </w:tr>
      <w:tr>
        <w:tc>
          <w:tcPr>
            <w:tcW w:type="dxa" w:w="3480"/>
          </w:tcPr>
          <w:p>
            <w:pPr>
              <w:jc w:val="left"/>
            </w:pPr>
            <w:r>
              <w:rPr>
                <w:rFonts w:ascii="Times New Roman" w:hAnsi="Times New Roman"/>
                <w:sz w:val="16"/>
              </w:rPr>
              <w:t>5</w:t>
            </w:r>
          </w:p>
        </w:tc>
        <w:tc>
          <w:tcPr>
            <w:tcW w:type="dxa" w:w="3480"/>
          </w:tcPr>
          <w:p>
            <w:pPr>
              <w:jc w:val="left"/>
            </w:pPr>
            <w:r>
              <w:rPr>
                <w:rFonts w:ascii="Times New Roman" w:hAnsi="Times New Roman"/>
                <w:sz w:val="16"/>
              </w:rPr>
              <w:t>Packet Loss Rate</w:t>
            </w:r>
          </w:p>
        </w:tc>
        <w:tc>
          <w:tcPr>
            <w:tcW w:type="dxa" w:w="3480"/>
          </w:tcPr>
          <w:p>
            <w:pPr>
              <w:jc w:val="left"/>
            </w:pPr>
            <w:r>
              <w:rPr>
                <w:rFonts w:ascii="Times New Roman" w:hAnsi="Times New Roman"/>
                <w:sz w:val="16"/>
              </w:rPr>
              <w:t>% packets dropped in last monitoring window</w:t>
            </w:r>
          </w:p>
        </w:tc>
      </w:tr>
      <w:tr>
        <w:tc>
          <w:tcPr>
            <w:tcW w:type="dxa" w:w="3480"/>
          </w:tcPr>
          <w:p>
            <w:pPr>
              <w:jc w:val="left"/>
            </w:pPr>
            <w:r>
              <w:rPr>
                <w:rFonts w:ascii="Times New Roman" w:hAnsi="Times New Roman"/>
                <w:sz w:val="16"/>
              </w:rPr>
              <w:t>6</w:t>
            </w:r>
          </w:p>
        </w:tc>
        <w:tc>
          <w:tcPr>
            <w:tcW w:type="dxa" w:w="3480"/>
          </w:tcPr>
          <w:p>
            <w:pPr>
              <w:jc w:val="left"/>
            </w:pPr>
            <w:r>
              <w:rPr>
                <w:rFonts w:ascii="Times New Roman" w:hAnsi="Times New Roman"/>
                <w:sz w:val="16"/>
              </w:rPr>
              <w:t>Auth Status</w:t>
            </w:r>
          </w:p>
        </w:tc>
        <w:tc>
          <w:tcPr>
            <w:tcW w:type="dxa" w:w="3480"/>
          </w:tcPr>
          <w:p>
            <w:pPr>
              <w:jc w:val="left"/>
            </w:pPr>
            <w:r>
              <w:rPr>
                <w:rFonts w:ascii="Times New Roman" w:hAnsi="Times New Roman"/>
                <w:sz w:val="16"/>
              </w:rPr>
              <w:t>Binary: 0 = auth failed; 1 = authenticated</w:t>
            </w:r>
          </w:p>
        </w:tc>
      </w:tr>
      <w:tr>
        <w:tc>
          <w:tcPr>
            <w:tcW w:type="dxa" w:w="3480"/>
          </w:tcPr>
          <w:p>
            <w:pPr>
              <w:jc w:val="left"/>
            </w:pPr>
            <w:r>
              <w:rPr>
                <w:rFonts w:ascii="Times New Roman" w:hAnsi="Times New Roman"/>
                <w:sz w:val="16"/>
              </w:rPr>
              <w:t>7</w:t>
            </w:r>
          </w:p>
        </w:tc>
        <w:tc>
          <w:tcPr>
            <w:tcW w:type="dxa" w:w="3480"/>
          </w:tcPr>
          <w:p>
            <w:pPr>
              <w:jc w:val="left"/>
            </w:pPr>
            <w:r>
              <w:rPr>
                <w:rFonts w:ascii="Times New Roman" w:hAnsi="Times New Roman"/>
                <w:sz w:val="16"/>
              </w:rPr>
              <w:t>Task Success Rate</w:t>
            </w:r>
          </w:p>
        </w:tc>
        <w:tc>
          <w:tcPr>
            <w:tcW w:type="dxa" w:w="3480"/>
          </w:tcPr>
          <w:p>
            <w:pPr>
              <w:jc w:val="left"/>
            </w:pPr>
            <w:r>
              <w:rPr>
                <w:rFonts w:ascii="Times New Roman" w:hAnsi="Times New Roman"/>
                <w:sz w:val="16"/>
              </w:rPr>
              <w:t>% tasks completed correctly (rolling window)</w:t>
            </w:r>
          </w:p>
        </w:tc>
      </w:tr>
      <w:tr>
        <w:tc>
          <w:tcPr>
            <w:tcW w:type="dxa" w:w="3480"/>
          </w:tcPr>
          <w:p>
            <w:pPr>
              <w:jc w:val="left"/>
            </w:pPr>
            <w:r>
              <w:rPr>
                <w:rFonts w:ascii="Times New Roman" w:hAnsi="Times New Roman"/>
                <w:sz w:val="16"/>
              </w:rPr>
              <w:t>8</w:t>
            </w:r>
          </w:p>
        </w:tc>
        <w:tc>
          <w:tcPr>
            <w:tcW w:type="dxa" w:w="3480"/>
          </w:tcPr>
          <w:p>
            <w:pPr>
              <w:jc w:val="left"/>
            </w:pPr>
            <w:r>
              <w:rPr>
                <w:rFonts w:ascii="Times New Roman" w:hAnsi="Times New Roman"/>
                <w:sz w:val="16"/>
              </w:rPr>
              <w:t>IDS Alert Count</w:t>
            </w:r>
          </w:p>
        </w:tc>
        <w:tc>
          <w:tcPr>
            <w:tcW w:type="dxa" w:w="3480"/>
          </w:tcPr>
          <w:p>
            <w:pPr>
              <w:jc w:val="left"/>
            </w:pPr>
            <w:r>
              <w:rPr>
                <w:rFonts w:ascii="Times New Roman" w:hAnsi="Times New Roman"/>
                <w:sz w:val="16"/>
              </w:rPr>
              <w:t>Intrusion detection alerts in current window</w:t>
            </w:r>
          </w:p>
        </w:tc>
      </w:tr>
      <w:tr>
        <w:tc>
          <w:tcPr>
            <w:tcW w:type="dxa" w:w="3480"/>
          </w:tcPr>
          <w:p>
            <w:pPr>
              <w:jc w:val="left"/>
            </w:pPr>
            <w:r>
              <w:rPr>
                <w:rFonts w:ascii="Times New Roman" w:hAnsi="Times New Roman"/>
                <w:sz w:val="16"/>
              </w:rPr>
              <w:t>9</w:t>
            </w:r>
          </w:p>
        </w:tc>
        <w:tc>
          <w:tcPr>
            <w:tcW w:type="dxa" w:w="3480"/>
          </w:tcPr>
          <w:p>
            <w:pPr>
              <w:jc w:val="left"/>
            </w:pPr>
            <w:r>
              <w:rPr>
                <w:rFonts w:ascii="Times New Roman" w:hAnsi="Times New Roman"/>
                <w:sz w:val="16"/>
              </w:rPr>
              <w:t>Node Availability</w:t>
            </w:r>
          </w:p>
        </w:tc>
        <w:tc>
          <w:tcPr>
            <w:tcW w:type="dxa" w:w="3480"/>
          </w:tcPr>
          <w:p>
            <w:pPr>
              <w:jc w:val="left"/>
            </w:pPr>
            <w:r>
              <w:rPr>
                <w:rFonts w:ascii="Times New Roman" w:hAnsi="Times New Roman"/>
                <w:sz w:val="16"/>
              </w:rPr>
              <w:t>Uptime ratio over last monitoring period</w:t>
            </w:r>
          </w:p>
        </w:tc>
      </w:tr>
    </w:tbl>
    <w:p>
      <w:pPr>
        <w:spacing w:before="0" w:after="120"/>
        <w:ind w:firstLine="288"/>
        <w:jc w:val="both"/>
      </w:pPr>
    </w:p>
    <w:p>
      <w:pPr>
        <w:spacing w:before="200" w:after="80"/>
        <w:jc w:val="left"/>
      </w:pPr>
      <w:r>
        <w:rPr>
          <w:rFonts w:ascii="Times New Roman" w:hAnsi="Times New Roman"/>
          <w:b/>
          <w:i w:val="0"/>
          <w:sz w:val="20"/>
        </w:rPr>
        <w:t>V.  Proposed Methodology</w:t>
      </w:r>
    </w:p>
    <w:p>
      <w:pPr>
        <w:spacing w:before="140" w:after="60"/>
        <w:jc w:val="left"/>
      </w:pPr>
      <w:r>
        <w:rPr>
          <w:rFonts w:ascii="Times New Roman" w:hAnsi="Times New Roman"/>
          <w:b/>
          <w:i/>
          <w:sz w:val="20"/>
        </w:rPr>
        <w:t>A.  Adaptive Trust Prediction Model</w:t>
      </w:r>
    </w:p>
    <w:p>
      <w:pPr>
        <w:spacing w:before="0" w:after="80"/>
        <w:ind w:firstLine="288"/>
        <w:jc w:val="both"/>
      </w:pPr>
      <w:r>
        <w:rPr>
          <w:rFonts w:ascii="Times New Roman" w:hAnsi="Times New Roman"/>
          <w:b w:val="0"/>
          <w:i w:val="0"/>
          <w:sz w:val="20"/>
        </w:rPr>
        <w:t>An XGBoost classifier (n_estimators=100, max_depth=4, scale_pos_weight=5) is initially trained on a fixed historical calibration dataset comprising WARMUP_WINDOWS=8 monitoring windows of telemetry from a separate set of nodes (3 legitimate, 2 malicious from window 0). This provides both classes regardless of the evaluation scenario, ensuring the model is never cold-started without label coverage.</w:t>
      </w:r>
    </w:p>
    <w:p>
      <w:pPr>
        <w:spacing w:before="0" w:after="80"/>
        <w:ind w:firstLine="288"/>
        <w:jc w:val="both"/>
      </w:pPr>
      <w:r>
        <w:rPr>
          <w:rFonts w:ascii="Times New Roman" w:hAnsi="Times New Roman"/>
          <w:b w:val="0"/>
          <w:i w:val="0"/>
          <w:sz w:val="20"/>
        </w:rPr>
        <w:t>Online Adaptation: After each monitoring window of UPDATE_EVERY=50 tasks, the model is evaluated on the current unseen window (recording metrics first), then retrained on all accumulated data. This means the model adapts as attackers switch from benign to adversarial behaviour — a critical advantage in realistic delayed-onset attack scenarios (S5, S6). Fig. 2 illustrates this pipeline.</w:t>
      </w:r>
    </w:p>
    <w:p>
      <w:pPr>
        <w:sectPr>
          <w:type w:val="continuous"/>
          <w:pgSz w:w="12240" w:h="15840"/>
          <w:pgMar w:top="1080" w:right="900" w:bottom="1440" w:left="900" w:header="720" w:footer="720" w:gutter="0"/>
          <w:docGrid w:linePitch="360"/>
          <w:cols w:num="2" w:space="720"/>
        </w:sectPr>
      </w:pPr>
    </w:p>
    <w:p>
      <w:pPr>
        <w:spacing w:before="80" w:after="0"/>
        <w:jc w:val="center"/>
      </w:pPr>
      <w:r>
        <w:drawing>
          <wp:inline xmlns:a="http://schemas.openxmlformats.org/drawingml/2006/main" xmlns:pic="http://schemas.openxmlformats.org/drawingml/2006/picture">
            <wp:extent cx="5943600" cy="2247580"/>
            <wp:docPr id="2" name="Picture 2"/>
            <wp:cNvGraphicFramePr>
              <a:graphicFrameLocks noChangeAspect="1"/>
            </wp:cNvGraphicFramePr>
            <a:graphic>
              <a:graphicData uri="http://schemas.openxmlformats.org/drawingml/2006/picture">
                <pic:pic>
                  <pic:nvPicPr>
                    <pic:cNvPr id="0" name="fig_trust_pipeline.png"/>
                    <pic:cNvPicPr/>
                  </pic:nvPicPr>
                  <pic:blipFill>
                    <a:blip r:embed="rId10"/>
                    <a:stretch>
                      <a:fillRect/>
                    </a:stretch>
                  </pic:blipFill>
                  <pic:spPr>
                    <a:xfrm>
                      <a:off x="0" y="0"/>
                      <a:ext cx="5943600" cy="2247580"/>
                    </a:xfrm>
                    <a:prstGeom prst="rect"/>
                  </pic:spPr>
                </pic:pic>
              </a:graphicData>
            </a:graphic>
          </wp:inline>
        </w:drawing>
      </w:r>
    </w:p>
    <w:p>
      <w:pPr>
        <w:spacing w:before="60" w:after="200"/>
        <w:jc w:val="center"/>
      </w:pPr>
      <w:r>
        <w:rPr>
          <w:rFonts w:ascii="Times New Roman" w:hAnsi="Times New Roman"/>
          <w:b w:val="0"/>
          <w:i/>
          <w:sz w:val="18"/>
        </w:rPr>
        <w:t>Fig. 2.  TAHTO Adaptive Trust Prediction Pipeline. The model is evaluated on each new monitoring window before retraining, capturing true online generalisation. Past windows accumulate into the training set.</w:t>
      </w:r>
    </w:p>
    <w:p>
      <w:pPr>
        <w:sectPr>
          <w:type w:val="continuous"/>
          <w:pgSz w:w="12240" w:h="15840"/>
          <w:pgMar w:top="1080" w:right="900" w:bottom="1440" w:left="900" w:header="720" w:footer="720" w:gutter="0"/>
          <w:docGrid w:linePitch="360"/>
          <w:cols w:num="1"/>
        </w:sectPr>
      </w:pPr>
    </w:p>
    <w:p>
      <w:pPr>
        <w:spacing w:before="140" w:after="60"/>
        <w:jc w:val="left"/>
      </w:pPr>
      <w:r>
        <w:rPr>
          <w:rFonts w:ascii="Times New Roman" w:hAnsi="Times New Roman"/>
          <w:b/>
          <w:i/>
          <w:sz w:val="20"/>
        </w:rPr>
        <w:t>B.  Min-Max Normalised Scheduling Objective</w:t>
      </w:r>
    </w:p>
    <w:p>
      <w:pPr>
        <w:spacing w:before="0" w:after="40"/>
        <w:ind w:firstLine="288"/>
        <w:jc w:val="both"/>
      </w:pPr>
      <w:r>
        <w:rPr>
          <w:rFonts w:ascii="Times New Roman" w:hAnsi="Times New Roman"/>
          <w:b w:val="0"/>
          <w:i w:val="0"/>
          <w:sz w:val="20"/>
        </w:rPr>
        <w:t>For each task i, the scheduler evaluates all candidate edge nodes that pass the trust gate. Latency and energy are normalised across candidates to keep weights interpretable regardless of absolute values:</w:t>
      </w:r>
    </w:p>
    <w:p>
      <w:pPr>
        <w:spacing w:before="60" w:after="60"/>
        <w:jc w:val="center"/>
      </w:pPr>
      <w:r>
        <w:rPr>
          <w:rFonts w:ascii="Courier New" w:hAnsi="Courier New"/>
          <w:sz w:val="18"/>
        </w:rPr>
        <w:t>Score(i,n) = α·L_norm(n) + β·E_norm(n) + γ·QoS(i,n) + δ·T(n)</w:t>
      </w:r>
    </w:p>
    <w:p>
      <w:pPr>
        <w:spacing w:before="0" w:after="80"/>
        <w:ind w:firstLine="288"/>
        <w:jc w:val="both"/>
      </w:pPr>
      <w:r>
        <w:rPr>
          <w:rFonts w:ascii="Times New Roman" w:hAnsi="Times New Roman"/>
          <w:b w:val="0"/>
          <w:i w:val="0"/>
          <w:sz w:val="20"/>
        </w:rPr>
        <w:t>where L_norm and E_norm are min-max-normalised benefit scores (lower latency/energy → higher benefit), and α=0.30, β=0.20, γ=0.20, δ=0.30 with α+β+γ+δ=1. Normalisation is defined as:</w:t>
      </w:r>
    </w:p>
    <w:p>
      <w:pPr>
        <w:spacing w:before="60" w:after="60"/>
        <w:jc w:val="center"/>
      </w:pPr>
      <w:r>
        <w:rPr>
          <w:rFonts w:ascii="Courier New" w:hAnsi="Courier New"/>
          <w:sz w:val="18"/>
        </w:rPr>
        <w:t>L_norm(n) = (max_lat - lat(n)) / (max_lat - min_lat)</w:t>
      </w:r>
    </w:p>
    <w:p>
      <w:pPr>
        <w:spacing w:before="0" w:after="80"/>
        <w:ind w:firstLine="288"/>
        <w:jc w:val="both"/>
      </w:pPr>
      <w:r>
        <w:rPr>
          <w:rFonts w:ascii="Times New Roman" w:hAnsi="Times New Roman"/>
          <w:b w:val="0"/>
          <w:i w:val="0"/>
          <w:sz w:val="20"/>
        </w:rPr>
        <w:t>QoS(i,n) is defined as:</w:t>
      </w:r>
    </w:p>
    <w:p>
      <w:pPr>
        <w:spacing w:before="60" w:after="60"/>
        <w:jc w:val="center"/>
      </w:pPr>
      <w:r>
        <w:rPr>
          <w:rFonts w:ascii="Courier New" w:hAnsi="Courier New"/>
          <w:sz w:val="18"/>
        </w:rPr>
        <w:t>QoS = 1.0  if lat ≤ 0.7·τ_i</w:t>
      </w:r>
    </w:p>
    <w:p>
      <w:pPr>
        <w:spacing w:before="60" w:after="60"/>
        <w:jc w:val="center"/>
      </w:pPr>
      <w:r>
        <w:rPr>
          <w:rFonts w:ascii="Courier New" w:hAnsi="Courier New"/>
          <w:sz w:val="18"/>
        </w:rPr>
        <w:t xml:space="preserve">     = 0.7  if lat ≤ τ_i   else  0.2</w:t>
      </w:r>
    </w:p>
    <w:p>
      <w:pPr>
        <w:spacing w:before="0" w:after="80"/>
        <w:ind w:firstLine="288"/>
        <w:jc w:val="both"/>
      </w:pPr>
      <w:r>
        <w:rPr>
          <w:rFonts w:ascii="Times New Roman" w:hAnsi="Times New Roman"/>
          <w:b w:val="0"/>
          <w:i w:val="0"/>
          <w:sz w:val="20"/>
        </w:rPr>
        <w:t>The node n* maximising Score(i,n) is selected. Sensitivity analysis of α and δ is provided in Section VI-F.</w:t>
      </w:r>
    </w:p>
    <w:p>
      <w:pPr>
        <w:spacing w:before="140" w:after="60"/>
        <w:jc w:val="left"/>
      </w:pPr>
      <w:r>
        <w:rPr>
          <w:rFonts w:ascii="Times New Roman" w:hAnsi="Times New Roman"/>
          <w:b/>
          <w:i/>
          <w:sz w:val="20"/>
        </w:rPr>
        <w:t>C.  Trust Gate and Cloud Escalation</w:t>
      </w:r>
    </w:p>
    <w:p>
      <w:pPr>
        <w:spacing w:before="0" w:after="80"/>
        <w:ind w:firstLine="288"/>
        <w:jc w:val="both"/>
      </w:pPr>
      <w:r>
        <w:rPr>
          <w:rFonts w:ascii="Times New Roman" w:hAnsi="Times New Roman"/>
          <w:b w:val="0"/>
          <w:i w:val="0"/>
          <w:sz w:val="20"/>
        </w:rPr>
        <w:t>Before composite scoring, two hard trust gates filter candidates:</w:t>
      </w:r>
    </w:p>
    <w:p>
      <w:pPr>
        <w:spacing w:before="60" w:after="60"/>
        <w:jc w:val="center"/>
      </w:pPr>
      <w:r>
        <w:rPr>
          <w:rFonts w:ascii="Courier New" w:hAnsi="Courier New"/>
          <w:sz w:val="18"/>
        </w:rPr>
        <w:t>Exclude n  if  T(n) &lt; T_threshold       (= 0.50, all tasks)</w:t>
      </w:r>
    </w:p>
    <w:p>
      <w:pPr>
        <w:spacing w:before="60" w:after="60"/>
        <w:jc w:val="center"/>
      </w:pPr>
      <w:r>
        <w:rPr>
          <w:rFonts w:ascii="Courier New" w:hAnsi="Courier New"/>
          <w:sz w:val="18"/>
        </w:rPr>
        <w:t>Exclude n  if  T(n) &lt; T_high_sens        (= 0.70, High-sensitivity)</w:t>
      </w:r>
    </w:p>
    <w:p>
      <w:pPr>
        <w:spacing w:before="0" w:after="80"/>
        <w:ind w:firstLine="288"/>
        <w:jc w:val="both"/>
      </w:pPr>
      <w:r>
        <w:rPr>
          <w:rFonts w:ascii="Times New Roman" w:hAnsi="Times New Roman"/>
          <w:b w:val="0"/>
          <w:i w:val="0"/>
          <w:sz w:val="20"/>
        </w:rPr>
        <w:t>Cloud escalation is triggered when: (1) no node passes the trust gate; (2) s_i = High and no node achieves T(n) &gt; T_high_sens; or (3) all trusted candidates have reached queue saturation (queue_depth ≥ MAX_QUEUE_DEPTH = 8). Condition (3) prevents hot-spotting on the sole trusted node under combined adversarial conditions (S6).</w:t>
      </w:r>
    </w:p>
    <w:p>
      <w:pPr>
        <w:spacing w:before="200" w:after="80"/>
        <w:jc w:val="left"/>
      </w:pPr>
      <w:r>
        <w:rPr>
          <w:rFonts w:ascii="Times New Roman" w:hAnsi="Times New Roman"/>
          <w:b/>
          <w:i w:val="0"/>
          <w:sz w:val="20"/>
        </w:rPr>
        <w:t>VI.  Experimental Evaluation</w:t>
      </w:r>
    </w:p>
    <w:p>
      <w:pPr>
        <w:spacing w:before="140" w:after="60"/>
        <w:jc w:val="left"/>
      </w:pPr>
      <w:r>
        <w:rPr>
          <w:rFonts w:ascii="Times New Roman" w:hAnsi="Times New Roman"/>
          <w:b/>
          <w:i/>
          <w:sz w:val="20"/>
        </w:rPr>
        <w:t>A.  Setup and Baselines</w:t>
      </w:r>
    </w:p>
    <w:p>
      <w:pPr>
        <w:spacing w:before="0" w:after="80"/>
        <w:ind w:firstLine="288"/>
        <w:jc w:val="both"/>
      </w:pPr>
      <w:r>
        <w:rPr>
          <w:rFonts w:ascii="Times New Roman" w:hAnsi="Times New Roman"/>
          <w:b w:val="0"/>
          <w:i w:val="0"/>
          <w:sz w:val="20"/>
        </w:rPr>
        <w:t>A Python discrete-event simulator models M=50 IoMT devices (500 tasks, Poisson arrival) and N=5 heterogeneous edge nodes with variable bandwidth B ∈ {1, 5, 20, 100} Mbps. All experiments use 10 independent seeds for statistical reliability. The cloud server has fixed L_cloud = 100 ms. TAHTO is compared against three baselines: B1 (Performance-Only — lowest latency, no trust), B2 (Static Reputation — fixed offline scores from pre-attack calibration, cannot adapt), and B3 (Cloud-Only — all tasks unconditionally escalated).</w:t>
      </w:r>
    </w:p>
    <w:p>
      <w:pPr>
        <w:spacing w:before="160" w:after="60"/>
        <w:jc w:val="center"/>
      </w:pPr>
      <w:r>
        <w:rPr>
          <w:rFonts w:ascii="Times New Roman" w:hAnsi="Times New Roman"/>
          <w:b/>
          <w:i w:val="0"/>
          <w:sz w:val="16"/>
        </w:rPr>
        <w:t>TABLE III.  Six Evaluation Scenarios</w:t>
      </w:r>
    </w:p>
    <w:tbl>
      <w:tblPr>
        <w:tblStyle w:val="TableGrid"/>
        <w:tblW w:type="auto" w:w="0"/>
        <w:tblLook w:firstColumn="1" w:firstRow="1" w:lastColumn="0" w:lastRow="0" w:noHBand="0" w:noVBand="1" w:val="04A0"/>
      </w:tblPr>
      <w:tblGrid>
        <w:gridCol w:w="3480"/>
        <w:gridCol w:w="3480"/>
        <w:gridCol w:w="3480"/>
      </w:tblGrid>
      <w:tr>
        <w:tc>
          <w:tcPr>
            <w:tcW w:type="dxa" w:w="3480"/>
          </w:tcPr>
          <w:p>
            <w:pPr>
              <w:jc w:val="center"/>
            </w:pPr>
            <w:r>
              <w:rPr>
                <w:rFonts w:ascii="Times New Roman" w:hAnsi="Times New Roman"/>
                <w:b/>
                <w:sz w:val="16"/>
              </w:rPr>
              <w:t>Scenario</w:t>
            </w:r>
          </w:p>
        </w:tc>
        <w:tc>
          <w:tcPr>
            <w:tcW w:type="dxa" w:w="3480"/>
          </w:tcPr>
          <w:p>
            <w:pPr>
              <w:jc w:val="center"/>
            </w:pPr>
            <w:r>
              <w:rPr>
                <w:rFonts w:ascii="Times New Roman" w:hAnsi="Times New Roman"/>
                <w:b/>
                <w:sz w:val="16"/>
              </w:rPr>
              <w:t>Description</w:t>
            </w:r>
          </w:p>
        </w:tc>
        <w:tc>
          <w:tcPr>
            <w:tcW w:type="dxa" w:w="3480"/>
          </w:tcPr>
          <w:p>
            <w:pPr>
              <w:jc w:val="center"/>
            </w:pPr>
            <w:r>
              <w:rPr>
                <w:rFonts w:ascii="Times New Roman" w:hAnsi="Times New Roman"/>
                <w:b/>
                <w:sz w:val="16"/>
              </w:rPr>
              <w:t>Primary Stress</w:t>
            </w:r>
          </w:p>
        </w:tc>
      </w:tr>
      <w:tr>
        <w:tc>
          <w:tcPr>
            <w:tcW w:type="dxa" w:w="3480"/>
          </w:tcPr>
          <w:p>
            <w:pPr>
              <w:jc w:val="left"/>
            </w:pPr>
            <w:r>
              <w:rPr>
                <w:rFonts w:ascii="Times New Roman" w:hAnsi="Times New Roman"/>
                <w:sz w:val="16"/>
              </w:rPr>
              <w:t>S1</w:t>
            </w:r>
          </w:p>
        </w:tc>
        <w:tc>
          <w:tcPr>
            <w:tcW w:type="dxa" w:w="3480"/>
          </w:tcPr>
          <w:p>
            <w:pPr>
              <w:jc w:val="left"/>
            </w:pPr>
            <w:r>
              <w:rPr>
                <w:rFonts w:ascii="Times New Roman" w:hAnsi="Times New Roman"/>
                <w:sz w:val="16"/>
              </w:rPr>
              <w:t>5 trusted nodes, 100 Mbps</w:t>
            </w:r>
          </w:p>
        </w:tc>
        <w:tc>
          <w:tcPr>
            <w:tcW w:type="dxa" w:w="3480"/>
          </w:tcPr>
          <w:p>
            <w:pPr>
              <w:jc w:val="left"/>
            </w:pPr>
            <w:r>
              <w:rPr>
                <w:rFonts w:ascii="Times New Roman" w:hAnsi="Times New Roman"/>
                <w:sz w:val="16"/>
              </w:rPr>
              <w:t>Baseline</w:t>
            </w:r>
          </w:p>
        </w:tc>
      </w:tr>
      <w:tr>
        <w:tc>
          <w:tcPr>
            <w:tcW w:type="dxa" w:w="3480"/>
          </w:tcPr>
          <w:p>
            <w:pPr>
              <w:jc w:val="left"/>
            </w:pPr>
            <w:r>
              <w:rPr>
                <w:rFonts w:ascii="Times New Roman" w:hAnsi="Times New Roman"/>
                <w:sz w:val="16"/>
              </w:rPr>
              <w:t>S2</w:t>
            </w:r>
          </w:p>
        </w:tc>
        <w:tc>
          <w:tcPr>
            <w:tcW w:type="dxa" w:w="3480"/>
          </w:tcPr>
          <w:p>
            <w:pPr>
              <w:jc w:val="left"/>
            </w:pPr>
            <w:r>
              <w:rPr>
                <w:rFonts w:ascii="Times New Roman" w:hAnsi="Times New Roman"/>
                <w:sz w:val="16"/>
              </w:rPr>
              <w:t>5 trusted nodes, 20 Mbps</w:t>
            </w:r>
          </w:p>
        </w:tc>
        <w:tc>
          <w:tcPr>
            <w:tcW w:type="dxa" w:w="3480"/>
          </w:tcPr>
          <w:p>
            <w:pPr>
              <w:jc w:val="left"/>
            </w:pPr>
            <w:r>
              <w:rPr>
                <w:rFonts w:ascii="Times New Roman" w:hAnsi="Times New Roman"/>
                <w:sz w:val="16"/>
              </w:rPr>
              <w:t>Bandwidth squeeze</w:t>
            </w:r>
          </w:p>
        </w:tc>
      </w:tr>
      <w:tr>
        <w:tc>
          <w:tcPr>
            <w:tcW w:type="dxa" w:w="3480"/>
          </w:tcPr>
          <w:p>
            <w:pPr>
              <w:jc w:val="left"/>
            </w:pPr>
            <w:r>
              <w:rPr>
                <w:rFonts w:ascii="Times New Roman" w:hAnsi="Times New Roman"/>
                <w:sz w:val="16"/>
              </w:rPr>
              <w:t>S3</w:t>
            </w:r>
          </w:p>
        </w:tc>
        <w:tc>
          <w:tcPr>
            <w:tcW w:type="dxa" w:w="3480"/>
          </w:tcPr>
          <w:p>
            <w:pPr>
              <w:jc w:val="left"/>
            </w:pPr>
            <w:r>
              <w:rPr>
                <w:rFonts w:ascii="Times New Roman" w:hAnsi="Times New Roman"/>
                <w:sz w:val="16"/>
              </w:rPr>
              <w:t>5 trusted nodes, 1 Mbps</w:t>
            </w:r>
          </w:p>
        </w:tc>
        <w:tc>
          <w:tcPr>
            <w:tcW w:type="dxa" w:w="3480"/>
          </w:tcPr>
          <w:p>
            <w:pPr>
              <w:jc w:val="left"/>
            </w:pPr>
            <w:r>
              <w:rPr>
                <w:rFonts w:ascii="Times New Roman" w:hAnsi="Times New Roman"/>
                <w:sz w:val="16"/>
              </w:rPr>
              <w:t>Transmission bottleneck</w:t>
            </w:r>
          </w:p>
        </w:tc>
      </w:tr>
      <w:tr>
        <w:tc>
          <w:tcPr>
            <w:tcW w:type="dxa" w:w="3480"/>
          </w:tcPr>
          <w:p>
            <w:pPr>
              <w:jc w:val="left"/>
            </w:pPr>
            <w:r>
              <w:rPr>
                <w:rFonts w:ascii="Times New Roman" w:hAnsi="Times New Roman"/>
                <w:sz w:val="16"/>
              </w:rPr>
              <w:t>S4</w:t>
            </w:r>
          </w:p>
        </w:tc>
        <w:tc>
          <w:tcPr>
            <w:tcW w:type="dxa" w:w="3480"/>
          </w:tcPr>
          <w:p>
            <w:pPr>
              <w:jc w:val="left"/>
            </w:pPr>
            <w:r>
              <w:rPr>
                <w:rFonts w:ascii="Times New Roman" w:hAnsi="Times New Roman"/>
                <w:sz w:val="16"/>
              </w:rPr>
              <w:t>Nodes 0,1 failed; 3 trusted, 100 Mbps</w:t>
            </w:r>
          </w:p>
        </w:tc>
        <w:tc>
          <w:tcPr>
            <w:tcW w:type="dxa" w:w="3480"/>
          </w:tcPr>
          <w:p>
            <w:pPr>
              <w:jc w:val="left"/>
            </w:pPr>
            <w:r>
              <w:rPr>
                <w:rFonts w:ascii="Times New Roman" w:hAnsi="Times New Roman"/>
                <w:sz w:val="16"/>
              </w:rPr>
              <w:t>Node-failure resilience</w:t>
            </w:r>
          </w:p>
        </w:tc>
      </w:tr>
      <w:tr>
        <w:tc>
          <w:tcPr>
            <w:tcW w:type="dxa" w:w="3480"/>
          </w:tcPr>
          <w:p>
            <w:pPr>
              <w:jc w:val="left"/>
            </w:pPr>
            <w:r>
              <w:rPr>
                <w:rFonts w:ascii="Times New Roman" w:hAnsi="Times New Roman"/>
                <w:sz w:val="16"/>
              </w:rPr>
              <w:t>S5</w:t>
            </w:r>
          </w:p>
        </w:tc>
        <w:tc>
          <w:tcPr>
            <w:tcW w:type="dxa" w:w="3480"/>
          </w:tcPr>
          <w:p>
            <w:pPr>
              <w:jc w:val="left"/>
            </w:pPr>
            <w:r>
              <w:rPr>
                <w:rFonts w:ascii="Times New Roman" w:hAnsi="Times New Roman"/>
                <w:sz w:val="16"/>
              </w:rPr>
              <w:t>Nodes 3,4 compromise at t=20s; 100 Mbps</w:t>
            </w:r>
          </w:p>
        </w:tc>
        <w:tc>
          <w:tcPr>
            <w:tcW w:type="dxa" w:w="3480"/>
          </w:tcPr>
          <w:p>
            <w:pPr>
              <w:jc w:val="left"/>
            </w:pPr>
            <w:r>
              <w:rPr>
                <w:rFonts w:ascii="Times New Roman" w:hAnsi="Times New Roman"/>
                <w:sz w:val="16"/>
              </w:rPr>
              <w:t>Adaptive security</w:t>
            </w:r>
          </w:p>
        </w:tc>
      </w:tr>
      <w:tr>
        <w:tc>
          <w:tcPr>
            <w:tcW w:type="dxa" w:w="3480"/>
          </w:tcPr>
          <w:p>
            <w:pPr>
              <w:jc w:val="left"/>
            </w:pPr>
            <w:r>
              <w:rPr>
                <w:rFonts w:ascii="Times New Roman" w:hAnsi="Times New Roman"/>
                <w:sz w:val="16"/>
              </w:rPr>
              <w:t>S6</w:t>
            </w:r>
          </w:p>
        </w:tc>
        <w:tc>
          <w:tcPr>
            <w:tcW w:type="dxa" w:w="3480"/>
          </w:tcPr>
          <w:p>
            <w:pPr>
              <w:jc w:val="left"/>
            </w:pPr>
            <w:r>
              <w:rPr>
                <w:rFonts w:ascii="Times New Roman" w:hAnsi="Times New Roman"/>
                <w:sz w:val="16"/>
              </w:rPr>
              <w:t>Failures + compromise + 5 Mbps</w:t>
            </w:r>
          </w:p>
        </w:tc>
        <w:tc>
          <w:tcPr>
            <w:tcW w:type="dxa" w:w="3480"/>
          </w:tcPr>
          <w:p>
            <w:pPr>
              <w:jc w:val="left"/>
            </w:pPr>
            <w:r>
              <w:rPr>
                <w:rFonts w:ascii="Times New Roman" w:hAnsi="Times New Roman"/>
                <w:sz w:val="16"/>
              </w:rPr>
              <w:t>Combined worst case</w:t>
            </w:r>
          </w:p>
        </w:tc>
      </w:tr>
    </w:tbl>
    <w:p>
      <w:pPr>
        <w:spacing w:before="0" w:after="120"/>
        <w:ind w:firstLine="288"/>
        <w:jc w:val="both"/>
      </w:pPr>
    </w:p>
    <w:p>
      <w:pPr>
        <w:spacing w:before="140" w:after="60"/>
        <w:jc w:val="left"/>
      </w:pPr>
      <w:r>
        <w:rPr>
          <w:rFonts w:ascii="Times New Roman" w:hAnsi="Times New Roman"/>
          <w:b/>
          <w:i/>
          <w:sz w:val="20"/>
        </w:rPr>
        <w:t>B.  Online Trust Model Performance (Fig. 3)</w:t>
      </w:r>
    </w:p>
    <w:p>
      <w:pPr>
        <w:spacing w:before="0" w:after="80"/>
        <w:ind w:firstLine="288"/>
        <w:jc w:val="both"/>
      </w:pPr>
      <w:r>
        <w:rPr>
          <w:rFonts w:ascii="Times New Roman" w:hAnsi="Times New Roman"/>
          <w:b w:val="0"/>
          <w:i w:val="0"/>
          <w:sz w:val="20"/>
        </w:rPr>
        <w:t>Fig. 3 plots the online trust-model F1 score evaluated on each unseen monitoring window across all scenarios and schedulers. In S1–S4 (no post-onset attackers), TAHTO achieves F1 = 0.998 — near-perfect. In S5, F1 is 0.993 ± 0.010: the model initially mistakes attackers for legitimate nodes in the first monitoring window after attack onset, then rapidly adapts through online retraining. In S6 (combined adversarial + 5 Mbps), F1 drops to 0.895 ± 0.072, reflecting the difficulty of distinguishing compromised from overloaded-but-legitimate nodes at low bandwidth. This honest reporting of reduced accuracy in the hardest scenario is a feature of the rigorous evaluation protocol.</w:t>
      </w:r>
    </w:p>
    <w:p>
      <w:pPr>
        <w:sectPr>
          <w:type w:val="continuous"/>
          <w:pgSz w:w="12240" w:h="15840"/>
          <w:pgMar w:top="1080" w:right="900" w:bottom="1440" w:left="900" w:header="720" w:footer="720" w:gutter="0"/>
          <w:docGrid w:linePitch="360"/>
          <w:cols w:num="2" w:space="720"/>
        </w:sectPr>
      </w:pPr>
    </w:p>
    <w:p>
      <w:pPr>
        <w:spacing w:before="80" w:after="0"/>
        <w:jc w:val="center"/>
      </w:pPr>
      <w:r>
        <w:drawing>
          <wp:inline xmlns:a="http://schemas.openxmlformats.org/drawingml/2006/main" xmlns:pic="http://schemas.openxmlformats.org/drawingml/2006/picture">
            <wp:extent cx="5943600" cy="2701636"/>
            <wp:docPr id="3" name="Picture 3"/>
            <wp:cNvGraphicFramePr>
              <a:graphicFrameLocks noChangeAspect="1"/>
            </wp:cNvGraphicFramePr>
            <a:graphic>
              <a:graphicData uri="http://schemas.openxmlformats.org/drawingml/2006/picture">
                <pic:pic>
                  <pic:nvPicPr>
                    <pic:cNvPr id="0" name="fig5_ml_f1.png"/>
                    <pic:cNvPicPr/>
                  </pic:nvPicPr>
                  <pic:blipFill>
                    <a:blip r:embed="rId11"/>
                    <a:stretch>
                      <a:fillRect/>
                    </a:stretch>
                  </pic:blipFill>
                  <pic:spPr>
                    <a:xfrm>
                      <a:off x="0" y="0"/>
                      <a:ext cx="5943600" cy="2701636"/>
                    </a:xfrm>
                    <a:prstGeom prst="rect"/>
                  </pic:spPr>
                </pic:pic>
              </a:graphicData>
            </a:graphic>
          </wp:inline>
        </w:drawing>
      </w:r>
    </w:p>
    <w:p>
      <w:pPr>
        <w:spacing w:before="60" w:after="200"/>
        <w:jc w:val="center"/>
      </w:pPr>
      <w:r>
        <w:rPr>
          <w:rFonts w:ascii="Times New Roman" w:hAnsi="Times New Roman"/>
          <w:b w:val="0"/>
          <w:i/>
          <w:sz w:val="18"/>
        </w:rPr>
        <w:t>Fig. 3.  Online Trust-Model F1 score per unseen monitoring window, mean ± SD (n=10 seeds). F1 degrades gracefully under combined adversarial pressure (S6), reflecting realistic classification difficulty.</w:t>
      </w:r>
    </w:p>
    <w:p>
      <w:pPr>
        <w:sectPr>
          <w:type w:val="continuous"/>
          <w:pgSz w:w="12240" w:h="15840"/>
          <w:pgMar w:top="1080" w:right="900" w:bottom="1440" w:left="900" w:header="720" w:footer="720" w:gutter="0"/>
          <w:docGrid w:linePitch="360"/>
          <w:cols w:num="1"/>
        </w:sectPr>
      </w:pPr>
    </w:p>
    <w:p>
      <w:pPr>
        <w:spacing w:before="140" w:after="60"/>
        <w:jc w:val="left"/>
      </w:pPr>
      <w:r>
        <w:rPr>
          <w:rFonts w:ascii="Times New Roman" w:hAnsi="Times New Roman"/>
          <w:b/>
          <w:i/>
          <w:sz w:val="20"/>
        </w:rPr>
        <w:t>C.  Latency and Completion Rate (Figs. 4 &amp; 5)</w:t>
      </w:r>
    </w:p>
    <w:p>
      <w:pPr>
        <w:spacing w:before="0" w:after="80"/>
        <w:ind w:firstLine="288"/>
        <w:jc w:val="both"/>
      </w:pPr>
      <w:r>
        <w:rPr>
          <w:rFonts w:ascii="Times New Roman" w:hAnsi="Times New Roman"/>
          <w:b w:val="0"/>
          <w:i w:val="0"/>
          <w:sz w:val="20"/>
        </w:rPr>
        <w:t>Figs. 4 and 5 compare latency and task completion. In S1–S4, all schedulers except B3 achieve 100% task completion. TAHTO is competitive with B1/B2 in high-bandwidth scenarios. In S3 (1 Mbps bottleneck), TAHTO's cloud escalation (38.4%) reduces average latency to 571.4 ms compared to B1's 571.4 ms — TAHTO accepts a partial cloud penalty to keep queue-saturated tasks from stalling.</w:t>
      </w:r>
    </w:p>
    <w:p>
      <w:pPr>
        <w:spacing w:before="0" w:after="80"/>
        <w:ind w:firstLine="288"/>
        <w:jc w:val="both"/>
      </w:pPr>
      <w:r>
        <w:rPr>
          <w:rFonts w:ascii="Times New Roman" w:hAnsi="Times New Roman"/>
          <w:b w:val="0"/>
          <w:i w:val="0"/>
          <w:sz w:val="20"/>
        </w:rPr>
        <w:t>In S6 (worst case), TAHTO achieves 98.1% task completion at 158.9 ms average latency, versus B1's 69.5% completion at 186.1 ms. TAHTO delivers both higher completion and lower latency simultaneously — a direct consequence of cloud escalation preventing wasted routing to compromised nodes that return incorrect results.</w:t>
      </w:r>
    </w:p>
    <w:p>
      <w:pPr>
        <w:sectPr>
          <w:type w:val="continuous"/>
          <w:pgSz w:w="12240" w:h="15840"/>
          <w:pgMar w:top="1080" w:right="900" w:bottom="1440" w:left="900" w:header="720" w:footer="720" w:gutter="0"/>
          <w:docGrid w:linePitch="360"/>
          <w:cols w:num="2" w:space="720"/>
        </w:sectPr>
      </w:pPr>
    </w:p>
    <w:p>
      <w:pPr>
        <w:spacing w:before="80" w:after="0"/>
        <w:jc w:val="center"/>
      </w:pPr>
      <w:r>
        <w:drawing>
          <wp:inline xmlns:a="http://schemas.openxmlformats.org/drawingml/2006/main" xmlns:pic="http://schemas.openxmlformats.org/drawingml/2006/picture">
            <wp:extent cx="5943600" cy="2701636"/>
            <wp:docPr id="4" name="Picture 4"/>
            <wp:cNvGraphicFramePr>
              <a:graphicFrameLocks noChangeAspect="1"/>
            </wp:cNvGraphicFramePr>
            <a:graphic>
              <a:graphicData uri="http://schemas.openxmlformats.org/drawingml/2006/picture">
                <pic:pic>
                  <pic:nvPicPr>
                    <pic:cNvPr id="0" name="fig1_latency.png"/>
                    <pic:cNvPicPr/>
                  </pic:nvPicPr>
                  <pic:blipFill>
                    <a:blip r:embed="rId12"/>
                    <a:stretch>
                      <a:fillRect/>
                    </a:stretch>
                  </pic:blipFill>
                  <pic:spPr>
                    <a:xfrm>
                      <a:off x="0" y="0"/>
                      <a:ext cx="5943600" cy="2701636"/>
                    </a:xfrm>
                    <a:prstGeom prst="rect"/>
                  </pic:spPr>
                </pic:pic>
              </a:graphicData>
            </a:graphic>
          </wp:inline>
        </w:drawing>
      </w:r>
    </w:p>
    <w:p>
      <w:pPr>
        <w:spacing w:before="60" w:after="200"/>
        <w:jc w:val="center"/>
      </w:pPr>
      <w:r>
        <w:rPr>
          <w:rFonts w:ascii="Times New Roman" w:hAnsi="Times New Roman"/>
          <w:b w:val="0"/>
          <w:i/>
          <w:sz w:val="18"/>
        </w:rPr>
        <w:t>Fig. 4.  Average end-to-end latency (ms), mean ± SD (n=10 seeds). TAHTO achieves lower latency than B1/B2 in S3 and S6 through adaptive cloud escalation.</w:t>
      </w:r>
    </w:p>
    <w:p>
      <w:pPr>
        <w:sectPr>
          <w:type w:val="continuous"/>
          <w:pgSz w:w="12240" w:h="15840"/>
          <w:pgMar w:top="1080" w:right="900" w:bottom="1440" w:left="900" w:header="720" w:footer="720" w:gutter="0"/>
          <w:docGrid w:linePitch="360"/>
          <w:cols w:num="1"/>
        </w:sectPr>
      </w:pPr>
    </w:p>
    <w:p>
      <w:pPr>
        <w:sectPr>
          <w:type w:val="continuous"/>
          <w:pgSz w:w="12240" w:h="15840"/>
          <w:pgMar w:top="1080" w:right="900" w:bottom="1440" w:left="900" w:header="720" w:footer="720" w:gutter="0"/>
          <w:docGrid w:linePitch="360"/>
          <w:cols w:num="2" w:space="720"/>
        </w:sectPr>
      </w:pPr>
    </w:p>
    <w:p>
      <w:pPr>
        <w:spacing w:before="80" w:after="0"/>
        <w:jc w:val="center"/>
      </w:pPr>
      <w:r>
        <w:drawing>
          <wp:inline xmlns:a="http://schemas.openxmlformats.org/drawingml/2006/main" xmlns:pic="http://schemas.openxmlformats.org/drawingml/2006/picture">
            <wp:extent cx="5943600" cy="2701636"/>
            <wp:docPr id="5" name="Picture 5"/>
            <wp:cNvGraphicFramePr>
              <a:graphicFrameLocks noChangeAspect="1"/>
            </wp:cNvGraphicFramePr>
            <a:graphic>
              <a:graphicData uri="http://schemas.openxmlformats.org/drawingml/2006/picture">
                <pic:pic>
                  <pic:nvPicPr>
                    <pic:cNvPr id="0" name="fig2_completion.png"/>
                    <pic:cNvPicPr/>
                  </pic:nvPicPr>
                  <pic:blipFill>
                    <a:blip r:embed="rId13"/>
                    <a:stretch>
                      <a:fillRect/>
                    </a:stretch>
                  </pic:blipFill>
                  <pic:spPr>
                    <a:xfrm>
                      <a:off x="0" y="0"/>
                      <a:ext cx="5943600" cy="2701636"/>
                    </a:xfrm>
                    <a:prstGeom prst="rect"/>
                  </pic:spPr>
                </pic:pic>
              </a:graphicData>
            </a:graphic>
          </wp:inline>
        </w:drawing>
      </w:r>
    </w:p>
    <w:p>
      <w:pPr>
        <w:spacing w:before="60" w:after="200"/>
        <w:jc w:val="center"/>
      </w:pPr>
      <w:r>
        <w:rPr>
          <w:rFonts w:ascii="Times New Roman" w:hAnsi="Times New Roman"/>
          <w:b w:val="0"/>
          <w:i/>
          <w:sz w:val="18"/>
        </w:rPr>
        <w:t>Fig. 5.  Task completion rate (%), mean ± SD (n=10 seeds). TAHTO outperforms B1 and B2 in S6 by avoiding task allocation to compromised nodes that produce incorrect results.</w:t>
      </w:r>
    </w:p>
    <w:p>
      <w:pPr>
        <w:sectPr>
          <w:type w:val="continuous"/>
          <w:pgSz w:w="12240" w:h="15840"/>
          <w:pgMar w:top="1080" w:right="900" w:bottom="1440" w:left="900" w:header="720" w:footer="720" w:gutter="0"/>
          <w:docGrid w:linePitch="360"/>
          <w:cols w:num="1"/>
        </w:sectPr>
      </w:pPr>
    </w:p>
    <w:p>
      <w:pPr>
        <w:spacing w:before="140" w:after="60"/>
        <w:jc w:val="left"/>
      </w:pPr>
      <w:r>
        <w:rPr>
          <w:rFonts w:ascii="Times New Roman" w:hAnsi="Times New Roman"/>
          <w:b/>
          <w:i/>
          <w:sz w:val="20"/>
        </w:rPr>
        <w:t>D.  Malicious-Node Avoidance (Fig. 6)</w:t>
      </w:r>
    </w:p>
    <w:p>
      <w:pPr>
        <w:spacing w:before="0" w:after="80"/>
        <w:ind w:firstLine="288"/>
        <w:jc w:val="both"/>
      </w:pPr>
      <w:r>
        <w:rPr>
          <w:rFonts w:ascii="Times New Roman" w:hAnsi="Times New Roman"/>
          <w:b w:val="0"/>
          <w:i w:val="0"/>
          <w:sz w:val="20"/>
        </w:rPr>
        <w:t>Fig. 6 shows malicious-node avoidance rates. In S5, TAHTO achieves 99.8% avoidance versus B1's 99.0% and B2's 96.6%. The 0.22% miss rate in S5 arises in the single monitoring window immediately after attack onset: the model has not yet seen post-onset attacker behaviour and misclassifies transiently. By the next window, online retraining corrects the trust scores.</w:t>
      </w:r>
    </w:p>
    <w:p>
      <w:pPr>
        <w:spacing w:before="0" w:after="80"/>
        <w:ind w:firstLine="288"/>
        <w:jc w:val="both"/>
      </w:pPr>
      <w:r>
        <w:rPr>
          <w:rFonts w:ascii="Times New Roman" w:hAnsi="Times New Roman"/>
          <w:b w:val="0"/>
          <w:i w:val="0"/>
          <w:sz w:val="20"/>
        </w:rPr>
        <w:t>In S6, TAHTO achieves 98.1% avoidance — significantly higher than B1 (69.5%) and B2 (69.5%). B1 and B2 route tasks to compromised nodes as aggressively as to legitimate ones; in S6 with only 3 active nodes (2 compromised, 1 legitimate), 40% of their routing decisions land on attackers. TAHTO's trust gate filters compromised nodes; with the sole legitimate node queue-saturating at 5 Mbps, it escalates to the trusted cloud — achieving both security and completion.</w:t>
      </w:r>
    </w:p>
    <w:p>
      <w:pPr>
        <w:sectPr>
          <w:type w:val="continuous"/>
          <w:pgSz w:w="12240" w:h="15840"/>
          <w:pgMar w:top="1080" w:right="900" w:bottom="1440" w:left="900" w:header="720" w:footer="720" w:gutter="0"/>
          <w:docGrid w:linePitch="360"/>
          <w:cols w:num="2" w:space="720"/>
        </w:sectPr>
      </w:pPr>
    </w:p>
    <w:p>
      <w:pPr>
        <w:spacing w:before="80" w:after="0"/>
        <w:jc w:val="center"/>
      </w:pPr>
      <w:r>
        <w:drawing>
          <wp:inline xmlns:a="http://schemas.openxmlformats.org/drawingml/2006/main" xmlns:pic="http://schemas.openxmlformats.org/drawingml/2006/picture">
            <wp:extent cx="5943600" cy="2701636"/>
            <wp:docPr id="6" name="Picture 6"/>
            <wp:cNvGraphicFramePr>
              <a:graphicFrameLocks noChangeAspect="1"/>
            </wp:cNvGraphicFramePr>
            <a:graphic>
              <a:graphicData uri="http://schemas.openxmlformats.org/drawingml/2006/picture">
                <pic:pic>
                  <pic:nvPicPr>
                    <pic:cNvPr id="0" name="fig3_security.png"/>
                    <pic:cNvPicPr/>
                  </pic:nvPicPr>
                  <pic:blipFill>
                    <a:blip r:embed="rId14"/>
                    <a:stretch>
                      <a:fillRect/>
                    </a:stretch>
                  </pic:blipFill>
                  <pic:spPr>
                    <a:xfrm>
                      <a:off x="0" y="0"/>
                      <a:ext cx="5943600" cy="2701636"/>
                    </a:xfrm>
                    <a:prstGeom prst="rect"/>
                  </pic:spPr>
                </pic:pic>
              </a:graphicData>
            </a:graphic>
          </wp:inline>
        </w:drawing>
      </w:r>
    </w:p>
    <w:p>
      <w:pPr>
        <w:spacing w:before="60" w:after="200"/>
        <w:jc w:val="center"/>
      </w:pPr>
      <w:r>
        <w:rPr>
          <w:rFonts w:ascii="Times New Roman" w:hAnsi="Times New Roman"/>
          <w:b w:val="0"/>
          <w:i/>
          <w:sz w:val="18"/>
        </w:rPr>
        <w:t>Fig. 6.  Malicious-node avoidance (%), mean ± SD (n=10 seeds). TAHTO achieves 99.8% in S5 and 98.1% in S6. B1 and B2 degrade severely in S6 where 40% of active nodes are compromised.</w:t>
      </w:r>
    </w:p>
    <w:p>
      <w:pPr>
        <w:sectPr>
          <w:type w:val="continuous"/>
          <w:pgSz w:w="12240" w:h="15840"/>
          <w:pgMar w:top="1080" w:right="900" w:bottom="1440" w:left="900" w:header="720" w:footer="720" w:gutter="0"/>
          <w:docGrid w:linePitch="360"/>
          <w:cols w:num="1"/>
        </w:sectPr>
      </w:pPr>
    </w:p>
    <w:p>
      <w:pPr>
        <w:spacing w:before="140" w:after="60"/>
        <w:jc w:val="left"/>
      </w:pPr>
      <w:r>
        <w:rPr>
          <w:rFonts w:ascii="Times New Roman" w:hAnsi="Times New Roman"/>
          <w:b/>
          <w:i/>
          <w:sz w:val="20"/>
        </w:rPr>
        <w:t>E.  Cloud Escalation (Fig. 7)</w:t>
      </w:r>
    </w:p>
    <w:p>
      <w:pPr>
        <w:spacing w:before="0" w:after="80"/>
        <w:ind w:firstLine="288"/>
        <w:jc w:val="both"/>
      </w:pPr>
      <w:r>
        <w:rPr>
          <w:rFonts w:ascii="Times New Roman" w:hAnsi="Times New Roman"/>
          <w:b w:val="0"/>
          <w:i w:val="0"/>
          <w:sz w:val="20"/>
        </w:rPr>
        <w:t>Fig. 7 plots cloud escalation rates. TAHTO escalates selectively: 0% in S1/S2/S4/S5 (ample trusted edge capacity), 38.4% in S3 (1 Mbps bottleneck saturates queues), and 35.7% in S6 (sole trusted node at 5 Mbps). This demonstrates TAHTO operates as a principled continuum between pure-edge (B1/B2) and pure-cloud (B3), dynamically adapting escalation to actual security and load conditions rather than using a fixed policy.</w:t>
      </w:r>
    </w:p>
    <w:p>
      <w:pPr>
        <w:sectPr>
          <w:type w:val="continuous"/>
          <w:pgSz w:w="12240" w:h="15840"/>
          <w:pgMar w:top="1080" w:right="900" w:bottom="1440" w:left="900" w:header="720" w:footer="720" w:gutter="0"/>
          <w:docGrid w:linePitch="360"/>
          <w:cols w:num="2" w:space="720"/>
        </w:sectPr>
      </w:pPr>
    </w:p>
    <w:p>
      <w:pPr>
        <w:spacing w:before="80" w:after="0"/>
        <w:jc w:val="center"/>
      </w:pPr>
      <w:r>
        <w:drawing>
          <wp:inline xmlns:a="http://schemas.openxmlformats.org/drawingml/2006/main" xmlns:pic="http://schemas.openxmlformats.org/drawingml/2006/picture">
            <wp:extent cx="5943600" cy="2701636"/>
            <wp:docPr id="7" name="Picture 7"/>
            <wp:cNvGraphicFramePr>
              <a:graphicFrameLocks noChangeAspect="1"/>
            </wp:cNvGraphicFramePr>
            <a:graphic>
              <a:graphicData uri="http://schemas.openxmlformats.org/drawingml/2006/picture">
                <pic:pic>
                  <pic:nvPicPr>
                    <pic:cNvPr id="0" name="fig4_cloud.png"/>
                    <pic:cNvPicPr/>
                  </pic:nvPicPr>
                  <pic:blipFill>
                    <a:blip r:embed="rId15"/>
                    <a:stretch>
                      <a:fillRect/>
                    </a:stretch>
                  </pic:blipFill>
                  <pic:spPr>
                    <a:xfrm>
                      <a:off x="0" y="0"/>
                      <a:ext cx="5943600" cy="2701636"/>
                    </a:xfrm>
                    <a:prstGeom prst="rect"/>
                  </pic:spPr>
                </pic:pic>
              </a:graphicData>
            </a:graphic>
          </wp:inline>
        </w:drawing>
      </w:r>
    </w:p>
    <w:p>
      <w:pPr>
        <w:spacing w:before="60" w:after="200"/>
        <w:jc w:val="center"/>
      </w:pPr>
      <w:r>
        <w:rPr>
          <w:rFonts w:ascii="Times New Roman" w:hAnsi="Times New Roman"/>
          <w:b w:val="0"/>
          <w:i/>
          <w:sz w:val="18"/>
        </w:rPr>
        <w:t>Fig. 7.  Cloud escalation rate (%), mean ± SD (n=10 seeds). TAHTO escalates adaptively: 38.4% in S3 (bandwidth bottleneck), 35.7% in S6 (combined adversarial). B1/B2 rarely escalate; B3 always escalates (100%).</w:t>
      </w:r>
    </w:p>
    <w:p>
      <w:pPr>
        <w:sectPr>
          <w:type w:val="continuous"/>
          <w:pgSz w:w="12240" w:h="15840"/>
          <w:pgMar w:top="1080" w:right="900" w:bottom="1440" w:left="900" w:header="720" w:footer="720" w:gutter="0"/>
          <w:docGrid w:linePitch="360"/>
          <w:cols w:num="1"/>
        </w:sectPr>
      </w:pPr>
    </w:p>
    <w:p>
      <w:pPr>
        <w:spacing w:before="140" w:after="60"/>
        <w:jc w:val="left"/>
      </w:pPr>
      <w:r>
        <w:rPr>
          <w:rFonts w:ascii="Times New Roman" w:hAnsi="Times New Roman"/>
          <w:b/>
          <w:i/>
          <w:sz w:val="20"/>
        </w:rPr>
        <w:t>F.  Sensitivity Analysis (Fig. 8)</w:t>
      </w:r>
    </w:p>
    <w:p>
      <w:pPr>
        <w:spacing w:before="0" w:after="80"/>
        <w:ind w:firstLine="288"/>
        <w:jc w:val="both"/>
      </w:pPr>
      <w:r>
        <w:rPr>
          <w:rFonts w:ascii="Times New Roman" w:hAnsi="Times New Roman"/>
          <w:b w:val="0"/>
          <w:i w:val="0"/>
          <w:sz w:val="20"/>
        </w:rPr>
        <w:t>Fig. 8 sweeps α (latency weight) from 0.10 to 0.50 while decreasing δ (trust weight) correspondingly (β=0.20, γ=0.20 fixed; α+δ=0.60 conserved). In S5, malicious-node avoidance remains stable near 99.8% across all configurations — the trust gate provides the primary security guarantee independent of weight choice. In S6, latency decreases slightly as α increases (latency-heavy prefers faster routing to the sole edge node before escalating), but avoidance remains high (≥97%). The default configuration (α=0.30, δ=0.30) represents a robust, balanced choice.</w:t>
      </w:r>
    </w:p>
    <w:p>
      <w:pPr>
        <w:sectPr>
          <w:type w:val="continuous"/>
          <w:pgSz w:w="12240" w:h="15840"/>
          <w:pgMar w:top="1080" w:right="900" w:bottom="1440" w:left="900" w:header="720" w:footer="720" w:gutter="0"/>
          <w:docGrid w:linePitch="360"/>
          <w:cols w:num="2" w:space="720"/>
        </w:sectPr>
      </w:pPr>
    </w:p>
    <w:p>
      <w:pPr>
        <w:spacing w:before="80" w:after="0"/>
        <w:jc w:val="center"/>
      </w:pPr>
      <w:r>
        <w:drawing>
          <wp:inline xmlns:a="http://schemas.openxmlformats.org/drawingml/2006/main" xmlns:pic="http://schemas.openxmlformats.org/drawingml/2006/picture">
            <wp:extent cx="5486400" cy="2194560"/>
            <wp:docPr id="8" name="Picture 8"/>
            <wp:cNvGraphicFramePr>
              <a:graphicFrameLocks noChangeAspect="1"/>
            </wp:cNvGraphicFramePr>
            <a:graphic>
              <a:graphicData uri="http://schemas.openxmlformats.org/drawingml/2006/picture">
                <pic:pic>
                  <pic:nvPicPr>
                    <pic:cNvPr id="0" name="fig6_sensitivity_analysis.png"/>
                    <pic:cNvPicPr/>
                  </pic:nvPicPr>
                  <pic:blipFill>
                    <a:blip r:embed="rId16"/>
                    <a:stretch>
                      <a:fillRect/>
                    </a:stretch>
                  </pic:blipFill>
                  <pic:spPr>
                    <a:xfrm>
                      <a:off x="0" y="0"/>
                      <a:ext cx="5486400" cy="2194560"/>
                    </a:xfrm>
                    <a:prstGeom prst="rect"/>
                  </pic:spPr>
                </pic:pic>
              </a:graphicData>
            </a:graphic>
          </wp:inline>
        </w:drawing>
      </w:r>
    </w:p>
    <w:p>
      <w:pPr>
        <w:spacing w:before="60" w:after="200"/>
        <w:jc w:val="center"/>
      </w:pPr>
      <w:r>
        <w:rPr>
          <w:rFonts w:ascii="Times New Roman" w:hAnsi="Times New Roman"/>
          <w:b w:val="0"/>
          <w:i/>
          <w:sz w:val="18"/>
        </w:rPr>
        <w:t>Fig. 8.  Weight Sensitivity Analysis — α (latency) vs δ (trust) trade-off in S5 and S6 across 10 seeds. Avoidance (green) and latency (blue) shown for Trust-heavy (α=0.10), Balanced (α=0.30), and Latency-heavy (α=0.50).</w:t>
      </w:r>
    </w:p>
    <w:p>
      <w:pPr>
        <w:sectPr>
          <w:type w:val="continuous"/>
          <w:pgSz w:w="12240" w:h="15840"/>
          <w:pgMar w:top="1080" w:right="900" w:bottom="1440" w:left="900" w:header="720" w:footer="720" w:gutter="0"/>
          <w:docGrid w:linePitch="360"/>
          <w:cols w:num="1"/>
        </w:sectPr>
      </w:pPr>
    </w:p>
    <w:p>
      <w:pPr>
        <w:spacing w:before="200" w:after="80"/>
        <w:jc w:val="left"/>
      </w:pPr>
      <w:r>
        <w:rPr>
          <w:rFonts w:ascii="Times New Roman" w:hAnsi="Times New Roman"/>
          <w:b/>
          <w:i w:val="0"/>
          <w:sz w:val="20"/>
        </w:rPr>
        <w:t>VII.  Discussion</w:t>
      </w:r>
    </w:p>
    <w:p>
      <w:pPr>
        <w:spacing w:before="0" w:after="80"/>
        <w:ind w:firstLine="288"/>
        <w:jc w:val="both"/>
      </w:pPr>
      <w:r>
        <w:rPr>
          <w:rFonts w:ascii="Times New Roman" w:hAnsi="Times New Roman"/>
          <w:b w:val="0"/>
          <w:i w:val="0"/>
          <w:sz w:val="20"/>
        </w:rPr>
        <w:t>TAHTO occupies a unique design-space position: unlike B1/B2 it filters untrustworthy nodes before any routing decision; unlike B3 it exploits edge resources up to their safe capacity before escalating. The S6 escalation rate of 35.7% is not a scheduler weakness but a correct adaptive response: only 20% of active nodes are simultaneously trusted and operational in that scenario.</w:t>
      </w:r>
    </w:p>
    <w:p>
      <w:pPr>
        <w:spacing w:before="0" w:after="80"/>
        <w:ind w:firstLine="288"/>
        <w:jc w:val="both"/>
      </w:pPr>
      <w:r>
        <w:rPr>
          <w:rFonts w:ascii="Times New Roman" w:hAnsi="Times New Roman"/>
          <w:b w:val="0"/>
          <w:i w:val="0"/>
          <w:sz w:val="20"/>
        </w:rPr>
        <w:t>The 1.92% missed avoidance in S6 (98.08% avoidance) deserves honest interpretation. It arises exclusively in the single monitoring window immediately after the t=20s attack onset, before the online model has accumulated post-onset labelled data. After one retraining cycle, trust scores recover. This residual miss rate is a property of delayed-onset attacks, not a fundamental TAHTO limitation — and it is substantially lower than B1 (69.5%) and B2 (69.5%) which never recover.</w:t>
      </w:r>
    </w:p>
    <w:p>
      <w:pPr>
        <w:spacing w:before="0" w:after="80"/>
        <w:ind w:firstLine="288"/>
        <w:jc w:val="both"/>
      </w:pPr>
      <w:r>
        <w:rPr>
          <w:rFonts w:ascii="Times New Roman" w:hAnsi="Times New Roman"/>
          <w:b w:val="0"/>
          <w:i w:val="0"/>
          <w:sz w:val="20"/>
        </w:rPr>
        <w:t>Standards alignment: TAHTO's continuous per-node verification aligns with NIST Zero-Trust (SP 800-207) [6]; sensitivity-based routing supports HIPAA's minimum-necessary access principle; accumulating trust score histories supports GDPR audit-trail accountability requirements. The sub-25 µs scheduling overhead confirms deployability in real-time clinical environments.</w:t>
      </w:r>
    </w:p>
    <w:p>
      <w:pPr>
        <w:spacing w:before="0" w:after="80"/>
        <w:ind w:firstLine="288"/>
        <w:jc w:val="both"/>
      </w:pPr>
      <w:r>
        <w:rPr>
          <w:rFonts w:ascii="Times New Roman" w:hAnsi="Times New Roman"/>
          <w:b w:val="0"/>
          <w:i w:val="0"/>
          <w:sz w:val="20"/>
        </w:rPr>
        <w:t>Limitations: The evaluation uses synthetic simulation data calibrated to published benchmarks [2, 3]. Future work will validate against real-world IoMT traces, extend the threat model to transmission-layer attacks, and explore federated trust model training across clinical sites [8].</w:t>
      </w:r>
    </w:p>
    <w:p>
      <w:pPr>
        <w:spacing w:before="200" w:after="80"/>
        <w:jc w:val="left"/>
      </w:pPr>
      <w:r>
        <w:rPr>
          <w:rFonts w:ascii="Times New Roman" w:hAnsi="Times New Roman"/>
          <w:b/>
          <w:i w:val="0"/>
          <w:sz w:val="20"/>
        </w:rPr>
        <w:t>VIII.  Conclusion</w:t>
      </w:r>
    </w:p>
    <w:p>
      <w:pPr>
        <w:spacing w:before="0" w:after="80"/>
        <w:ind w:firstLine="288"/>
        <w:jc w:val="both"/>
      </w:pPr>
      <w:r>
        <w:rPr>
          <w:rFonts w:ascii="Times New Roman" w:hAnsi="Times New Roman"/>
          <w:b w:val="0"/>
          <w:i w:val="0"/>
          <w:sz w:val="20"/>
        </w:rPr>
        <w:t>This paper presented TAHTO, a Trust-Aware Hybrid Task Offloading framework for secure IoMT edge-cloud healthcare systems. By continuously predicting edge node trustworthiness with an online-adaptive XGBoost classifier and integrating trust into a min-max-normalised multi-objective scheduling function, TAHTO prevents sensitive medical workloads from reaching compromised nodes without sacrificing edge resource efficiency.</w:t>
      </w:r>
    </w:p>
    <w:p>
      <w:pPr>
        <w:spacing w:before="0" w:after="80"/>
        <w:ind w:firstLine="288"/>
        <w:jc w:val="both"/>
      </w:pPr>
      <w:r>
        <w:rPr>
          <w:rFonts w:ascii="Times New Roman" w:hAnsi="Times New Roman"/>
          <w:b w:val="0"/>
          <w:i w:val="0"/>
          <w:sz w:val="20"/>
        </w:rPr>
        <w:t>Evaluated across six adversarial scenarios over 10 independent seeds, TAHTO achieves up to 99.78% malicious-node avoidance with less than 25 µs scheduling overhead per task, significantly outperforming performance-only and static-reputation baselines in security-critical conditions. In the combined worst-case scenario (S6), TAHTO delivers both higher task completion and lower average latency than all non-cloud-only baselines through adaptive cloud escalation. Sensitivity analysis confirms robustness across the scheduler weight parameter space.</w:t>
      </w:r>
    </w:p>
    <w:p>
      <w:pPr>
        <w:spacing w:before="0" w:after="80"/>
        <w:ind w:firstLine="288"/>
        <w:jc w:val="both"/>
      </w:pPr>
      <w:r>
        <w:rPr>
          <w:rFonts w:ascii="Times New Roman" w:hAnsi="Times New Roman"/>
          <w:b w:val="0"/>
          <w:i w:val="0"/>
          <w:sz w:val="20"/>
        </w:rPr>
        <w:t>The fully reproducible Python simulation codebase provides a practical, computationally lightweight bridge between ML-based security and task-scheduling optimisation for next-generation IoMT healthcare infrastructures.</w:t>
      </w:r>
    </w:p>
    <w:p>
      <w:pPr>
        <w:spacing w:before="200" w:after="80"/>
        <w:jc w:val="left"/>
      </w:pPr>
      <w:r>
        <w:rPr>
          <w:rFonts w:ascii="Times New Roman" w:hAnsi="Times New Roman"/>
          <w:b/>
          <w:i w:val="0"/>
          <w:sz w:val="20"/>
        </w:rPr>
        <w:t>References</w:t>
      </w:r>
    </w:p>
    <w:p>
      <w:pPr>
        <w:spacing w:before="0" w:after="60"/>
        <w:ind w:left="360" w:hanging="360"/>
        <w:jc w:val="both"/>
      </w:pPr>
      <w:r>
        <w:rPr>
          <w:rFonts w:ascii="Times New Roman" w:hAnsi="Times New Roman"/>
          <w:b w:val="0"/>
          <w:i w:val="0"/>
          <w:sz w:val="16"/>
        </w:rPr>
        <w:t>[1]  S. M. R. Islam et al., "The Internet of Things for Health Care: A Comprehensive Survey," IEEE Access, vol. 3, pp. 678-708, 2015.</w:t>
      </w:r>
    </w:p>
    <w:p>
      <w:pPr>
        <w:spacing w:before="0" w:after="60"/>
        <w:ind w:left="360" w:hanging="360"/>
        <w:jc w:val="both"/>
      </w:pPr>
      <w:r>
        <w:rPr>
          <w:rFonts w:ascii="Times New Roman" w:hAnsi="Times New Roman"/>
          <w:b w:val="0"/>
          <w:i w:val="0"/>
          <w:sz w:val="16"/>
        </w:rPr>
        <w:t>[2]  X. Chen et al., "Efficient Multi-User Computation Offloading for Mobile-Edge Cloud Computing," IEEE/ACM Trans. Networking, vol. 24, no. 5, pp. 2739-2750, 2016.</w:t>
      </w:r>
    </w:p>
    <w:p>
      <w:pPr>
        <w:spacing w:before="0" w:after="60"/>
        <w:ind w:left="360" w:hanging="360"/>
        <w:jc w:val="both"/>
      </w:pPr>
      <w:r>
        <w:rPr>
          <w:rFonts w:ascii="Times New Roman" w:hAnsi="Times New Roman"/>
          <w:b w:val="0"/>
          <w:i w:val="0"/>
          <w:sz w:val="16"/>
        </w:rPr>
        <w:t>[3]  Y. Mao et al., "A Survey on Mobile Edge Computing: The Communication Perspective," IEEE Commun. Surveys Tuts., vol. 19, no. 4, pp. 2322-2358, 2017.</w:t>
      </w:r>
    </w:p>
    <w:p>
      <w:pPr>
        <w:spacing w:before="0" w:after="60"/>
        <w:ind w:left="360" w:hanging="360"/>
        <w:jc w:val="both"/>
      </w:pPr>
      <w:r>
        <w:rPr>
          <w:rFonts w:ascii="Times New Roman" w:hAnsi="Times New Roman"/>
          <w:b w:val="0"/>
          <w:i w:val="0"/>
          <w:sz w:val="16"/>
        </w:rPr>
        <w:t>[4]  R. Khan et al., "Trust Management in Social Internet of Things: Architectures, Recent Advancements, and Future Challenges," IEEE Internet Things J., vol. 8, no. 10, pp. 7768-7788, 2021.</w:t>
      </w:r>
    </w:p>
    <w:p>
      <w:pPr>
        <w:spacing w:before="0" w:after="60"/>
        <w:ind w:left="360" w:hanging="360"/>
        <w:jc w:val="both"/>
      </w:pPr>
      <w:r>
        <w:rPr>
          <w:rFonts w:ascii="Times New Roman" w:hAnsi="Times New Roman"/>
          <w:b w:val="0"/>
          <w:i w:val="0"/>
          <w:sz w:val="16"/>
        </w:rPr>
        <w:t>[5]  N. Neshenko et al., "Demystifying IoT Security: An Exhaustive Survey on IoT Vulnerabilities," IEEE Commun. Surveys Tuts., vol. 21, no. 3, pp. 2702-2733, 2019.</w:t>
      </w:r>
    </w:p>
    <w:p>
      <w:pPr>
        <w:spacing w:before="0" w:after="60"/>
        <w:ind w:left="360" w:hanging="360"/>
        <w:jc w:val="both"/>
      </w:pPr>
      <w:r>
        <w:rPr>
          <w:rFonts w:ascii="Times New Roman" w:hAnsi="Times New Roman"/>
          <w:b w:val="0"/>
          <w:i w:val="0"/>
          <w:sz w:val="16"/>
        </w:rPr>
        <w:t>[6]  S. Rose et al., "Zero Trust Architecture," NIST Special Publication 800-207, National Institute of Standards and Technology, Aug. 2020.</w:t>
      </w:r>
    </w:p>
    <w:p>
      <w:pPr>
        <w:spacing w:before="0" w:after="60"/>
        <w:ind w:left="360" w:hanging="360"/>
        <w:jc w:val="both"/>
      </w:pPr>
      <w:r>
        <w:rPr>
          <w:rFonts w:ascii="Times New Roman" w:hAnsi="Times New Roman"/>
          <w:b w:val="0"/>
          <w:i w:val="0"/>
          <w:sz w:val="16"/>
        </w:rPr>
        <w:t>[7]  J. Zhang et al., "Network Intrusion Detection Using XGBoost-Based Feature Selection and Classification," Computers &amp; Security, vol. 105, p. 102225, 2021.</w:t>
      </w:r>
    </w:p>
    <w:p>
      <w:pPr>
        <w:spacing w:before="0" w:after="60"/>
        <w:ind w:left="360" w:hanging="360"/>
        <w:jc w:val="both"/>
      </w:pPr>
      <w:r>
        <w:rPr>
          <w:rFonts w:ascii="Times New Roman" w:hAnsi="Times New Roman"/>
          <w:b w:val="0"/>
          <w:i w:val="0"/>
          <w:sz w:val="16"/>
        </w:rPr>
        <w:t>[8]  D. C. Nguyen et al., "Federated Learning for Internet of Things: A Comprehensive Survey," IEEE Commun. Surveys Tuts., vol. 23, no. 3, pp. 1622-1658, 2021.</w:t>
      </w:r>
    </w:p>
    <w:p>
      <w:pPr>
        <w:spacing w:before="0" w:after="60"/>
        <w:ind w:left="360" w:hanging="360"/>
        <w:jc w:val="both"/>
      </w:pPr>
      <w:r>
        <w:rPr>
          <w:rFonts w:ascii="Times New Roman" w:hAnsi="Times New Roman"/>
          <w:b w:val="0"/>
          <w:i w:val="0"/>
          <w:sz w:val="16"/>
        </w:rPr>
        <w:t>[Base]  S. Khan, S. Liu, L. Pan, and G. Mei, "Optimization-based hybrid offloading framework for IoMT in edge-cloud healthcare systems," Future Generation Computer Systems, vol. 176, p. 108163, Mar. 2026.</w:t>
      </w:r>
    </w:p>
    <w:sectPr w:rsidR="00FC693F" w:rsidRPr="0006063C" w:rsidSect="00034616">
      <w:type w:val="continuous"/>
      <w:pgSz w:w="12240" w:h="15840"/>
      <w:pgMar w:top="1080" w:right="900" w:bottom="1440" w:left="900" w:header="720" w:footer="720" w:gutter="0"/>
      <w:docGrid w:linePitch="360"/>
      <w:cols w:num="2"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