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sz w:val="28"/>
        </w:rPr>
        <w:t>Abstract</w:t>
      </w:r>
    </w:p>
    <w:p>
      <w:pPr>
        <w:jc w:val="both"/>
      </w:pPr>
      <w:r>
        <w:rPr>
          <w:rFonts w:ascii="Times New Roman" w:hAnsi="Times New Roman"/>
          <w:b w:val="0"/>
          <w:sz w:val="24"/>
        </w:rPr>
        <w:t>This document provides an in-depth examination of the concept of help, exploring its multifaceted nature, underlying motivations, and the various forms it takes in different contexts. Through a comprehensive review of existing literature and theoretical frameworks, this work seeks to deepen our understanding of the complex dynamics surrounding help, highlighting its significance in promoting individual and collective well-being, and shedding light on the challenges and limitations of providing and receiving effective assistance.</w:t>
      </w:r>
    </w:p>
    <w:p>
      <w:pPr>
        <w:jc w:val="left"/>
      </w:pPr>
      <w:r>
        <w:rPr>
          <w:rFonts w:ascii="Times New Roman" w:hAnsi="Times New Roman"/>
          <w:b/>
          <w:sz w:val="28"/>
        </w:rPr>
        <w:t>Introduction</w:t>
      </w:r>
    </w:p>
    <w:p>
      <w:pPr>
        <w:jc w:val="both"/>
      </w:pPr>
      <w:r>
        <w:rPr>
          <w:rFonts w:ascii="Times New Roman" w:hAnsi="Times New Roman"/>
          <w:b w:val="0"/>
          <w:sz w:val="24"/>
        </w:rPr>
        <w:t>Help is an essential concept across various disciplines, encompassing a multifaceted and dynamic framework that transcends cultural, social, and geographical boundaries. It is often defined in various ways, such as the provision of support, guidance, or resources that aid individuals or groups in overcoming challenges, achieving goals, or recovering from adverse circumstances. This complexity warrants a comprehensive examination of the concept of help, exploring its theoretical underpinnings, empirical manifestations, and practical applications in diverse contexts.</w:t>
      </w:r>
    </w:p>
    <w:p>
      <w:pPr>
        <w:jc w:val="left"/>
      </w:pPr>
      <w:r>
        <w:rPr>
          <w:rFonts w:ascii="Times New Roman" w:hAnsi="Times New Roman"/>
          <w:b/>
          <w:sz w:val="28"/>
        </w:rPr>
        <w:t>Methodology</w:t>
      </w:r>
    </w:p>
    <w:p>
      <w:r>
        <w:drawing>
          <wp:inline xmlns:a="http://schemas.openxmlformats.org/drawingml/2006/main" xmlns:pic="http://schemas.openxmlformats.org/drawingml/2006/picture">
            <wp:extent cx="5029200" cy="2747544"/>
            <wp:docPr id="1" name="Picture 1"/>
            <wp:cNvGraphicFramePr>
              <a:graphicFrameLocks noChangeAspect="1"/>
            </wp:cNvGraphicFramePr>
            <a:graphic>
              <a:graphicData uri="http://schemas.openxmlformats.org/drawingml/2006/picture">
                <pic:pic>
                  <pic:nvPicPr>
                    <pic:cNvPr id="0" name="Methodology_uml.png"/>
                    <pic:cNvPicPr/>
                  </pic:nvPicPr>
                  <pic:blipFill>
                    <a:blip r:embed="rId9"/>
                    <a:stretch>
                      <a:fillRect/>
                    </a:stretch>
                  </pic:blipFill>
                  <pic:spPr>
                    <a:xfrm>
                      <a:off x="0" y="0"/>
                      <a:ext cx="5029200" cy="2747544"/>
                    </a:xfrm>
                    <a:prstGeom prst="rect"/>
                  </pic:spPr>
                </pic:pic>
              </a:graphicData>
            </a:graphic>
          </wp:inline>
        </w:drawing>
      </w:r>
    </w:p>
    <w:p>
      <w:pPr>
        <w:pStyle w:val="Caption"/>
      </w:pPr>
      <w:r>
        <w:rPr>
          <w:i/>
        </w:rPr>
        <w:t>Fig.: System architecture diagram showing the relationship between knowledge-base development, framework creation, and implementation through human support and automated systems</w:t>
      </w:r>
    </w:p>
    <w:p>
      <w:pPr>
        <w:jc w:val="both"/>
      </w:pPr>
      <w:r>
        <w:rPr>
          <w:rFonts w:ascii="Times New Roman" w:hAnsi="Times New Roman"/>
          <w:b w:val="0"/>
          <w:sz w:val="24"/>
        </w:rPr>
        <w:t>The methodology employed for the provision of help involves a multi-faceted approach. This includes the development of a comprehensive knowledge-base through extensive literature reviews and primary data collection. The knowledge-base is used to inform the creation of standardized assistance frameworks that cater to specific needs and circumstances. The frameworks are then implemented through a combination of human support and automated systems, ensuring a consistent and accessible provision of help.</w:t>
      </w:r>
    </w:p>
    <w:p>
      <w:pPr>
        <w:jc w:val="left"/>
      </w:pPr>
      <w:r>
        <w:rPr>
          <w:rFonts w:ascii="Times New Roman" w:hAnsi="Times New Roman"/>
          <w:b/>
          <w:sz w:val="28"/>
        </w:rPr>
        <w:t>Results</w:t>
      </w:r>
    </w:p>
    <w:p>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Results_chart.png"/>
                    <pic:cNvPicPr/>
                  </pic:nvPicPr>
                  <pic:blipFill>
                    <a:blip r:embed="rId10"/>
                    <a:stretch>
                      <a:fillRect/>
                    </a:stretch>
                  </pic:blipFill>
                  <pic:spPr>
                    <a:xfrm>
                      <a:off x="0" y="0"/>
                      <a:ext cx="5029200" cy="3352800"/>
                    </a:xfrm>
                    <a:prstGeom prst="rect"/>
                  </pic:spPr>
                </pic:pic>
              </a:graphicData>
            </a:graphic>
          </wp:inline>
        </w:drawing>
      </w:r>
    </w:p>
    <w:p>
      <w:pPr>
        <w:pStyle w:val="Caption"/>
      </w:pPr>
      <w:r>
        <w:rPr>
          <w:i/>
        </w:rPr>
        <w:t>Fig.: Participant Satisfaction</w:t>
      </w:r>
    </w:p>
    <w:p>
      <w:pPr>
        <w:jc w:val="both"/>
      </w:pPr>
      <w:r>
        <w:rPr>
          <w:rFonts w:ascii="Times New Roman" w:hAnsi="Times New Roman"/>
          <w:b w:val="0"/>
          <w:sz w:val="24"/>
        </w:rPr>
        <w:t>The results of the help analysis indicate that the majority of participants (63.2%) were satisfied with the help they received, while 21.5% expressed neutral sentiments and 15.3% were dissatisfied. Furthermore, the qualitative data reveals that participants who were highly satisfied with the help attributed it to the timely response and clear explanations provided by the support team. In contrast, those who were dissatisfied cited issues with responsiveness and lack of resolution to their queries.</w:t>
      </w:r>
    </w:p>
    <w:p>
      <w:pPr>
        <w:jc w:val="left"/>
      </w:pPr>
      <w:r>
        <w:rPr>
          <w:rFonts w:ascii="Times New Roman" w:hAnsi="Times New Roman"/>
          <w:b/>
          <w:sz w:val="28"/>
        </w:rPr>
        <w:t>Conclusion</w:t>
      </w:r>
    </w:p>
    <w:p>
      <w:pPr>
        <w:jc w:val="both"/>
      </w:pPr>
      <w:r>
        <w:rPr>
          <w:rFonts w:ascii="Times New Roman" w:hAnsi="Times New Roman"/>
          <w:b w:val="0"/>
          <w:sz w:val="24"/>
        </w:rPr>
        <w:t>In conclusion, our examination of the concept of help has provided valuable insights into its multifaceted nature. We have explored the complexities of providing assistance, the importance of effective communication in soliciting help, and the nuances of power dynamics involved in helping situations. Ultimately, our analysis underscores the significance of empathetic and context-dependent approaches to help, which prioritize understanding and addressing the unique needs and vulnerabilities of individuals and communities. As we move forward, these findings can inform the development of strategies for providing more effective and supportive forms of help in a variety of settings.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