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95959"/>
          <w:sz w:val="30"/>
        </w:rPr>
        <w:t>LOGISTICS DATA ANALYST INTERNSHIP</w:t>
      </w:r>
    </w:p>
    <w:p>
      <w:pPr>
        <w:jc w:val="center"/>
      </w:pPr>
      <w:r>
        <w:rPr>
          <w:b/>
          <w:color w:val="1F4E78"/>
          <w:sz w:val="60"/>
        </w:rPr>
        <w:t>WEEK 2 REPORT</w:t>
      </w:r>
    </w:p>
    <w:p>
      <w:pPr>
        <w:jc w:val="center"/>
      </w:pPr>
      <w:r>
        <w:rPr>
          <w:color w:val="444444"/>
          <w:sz w:val="28"/>
        </w:rPr>
        <w:t>Data Collection, Cleaning, and Preprocessing for Logistics Analysis</w:t>
      </w:r>
    </w:p>
    <w:p>
      <w:pPr>
        <w:jc w:val="center"/>
      </w:pPr>
      <w:r>
        <w:rPr>
          <w:b/>
          <w:sz w:val="24"/>
        </w:rPr>
        <w:br/>
        <w:t>Student: Abhinaya Sri Korapala</w:t>
        <w:br/>
      </w:r>
      <w:r>
        <w:rPr>
          <w:sz w:val="22"/>
        </w:rPr>
        <w:t>B.Tech – Computer Science &amp; Engineering (AI &amp; ML)</w:t>
        <w:br/>
      </w:r>
      <w:r>
        <w:rPr>
          <w:color w:val="595959"/>
          <w:sz w:val="22"/>
        </w:rPr>
        <w:t>October 2026</w:t>
      </w:r>
    </w:p>
    <w:p>
      <w:r>
        <w:br w:type="page"/>
      </w:r>
    </w:p>
    <w:p>
      <w:pPr>
        <w:pStyle w:val="Heading1"/>
      </w:pPr>
      <w:r>
        <w:t>1. Introduction</w:t>
      </w:r>
    </w:p>
    <w:p>
      <w:r>
        <w:rPr>
          <w:b/>
        </w:rPr>
        <w:t xml:space="preserve">This Week 2 task focused on preparing logistics order data for reliable analysis. </w:t>
      </w:r>
      <w:r>
        <w:t>The work covered data inspection, missing-value analysis, duplicate checks, date conversion, logical date validation, delivery-time calculation, late-delivery identification, outlier detection, and creation of an analysis-ready dataset. The original raw dataset was kept unchanged so that all preprocessing decisions remain traceable.</w:t>
      </w:r>
    </w:p>
    <w:p>
      <w:pPr>
        <w:pStyle w:val="Heading1"/>
      </w:pPr>
      <w:r>
        <w:t>2. Objectives</w:t>
      </w:r>
    </w:p>
    <w:p>
      <w:pPr>
        <w:pStyle w:val="ListBullet"/>
      </w:pPr>
      <w:r>
        <w:t>Inspect the structure and quality of the raw logistics orders dataset.</w:t>
      </w:r>
    </w:p>
    <w:p>
      <w:pPr>
        <w:pStyle w:val="ListBullet"/>
      </w:pPr>
      <w:r>
        <w:t>Identify missing values and determine whether missing dates are expected for each order status.</w:t>
      </w:r>
    </w:p>
    <w:p>
      <w:pPr>
        <w:pStyle w:val="ListBullet"/>
      </w:pPr>
      <w:r>
        <w:t>Check duplicate rows and duplicate order IDs.</w:t>
      </w:r>
    </w:p>
    <w:p>
      <w:pPr>
        <w:pStyle w:val="ListBullet"/>
      </w:pPr>
      <w:r>
        <w:t>Convert timestamp fields from text to datetime format.</w:t>
      </w:r>
    </w:p>
    <w:p>
      <w:pPr>
        <w:pStyle w:val="ListBullet"/>
      </w:pPr>
      <w:r>
        <w:t>Validate important date relationships in the order lifecycle.</w:t>
      </w:r>
    </w:p>
    <w:p>
      <w:pPr>
        <w:pStyle w:val="ListBullet"/>
      </w:pPr>
      <w:r>
        <w:t>Calculate delivery time and delivery delay for analysis.</w:t>
      </w:r>
    </w:p>
    <w:p>
      <w:pPr>
        <w:pStyle w:val="ListBullet"/>
      </w:pPr>
      <w:r>
        <w:t>Identify unusually long delivery times using the IQR method without deleting potentially valid business events.</w:t>
      </w:r>
    </w:p>
    <w:p>
      <w:pPr>
        <w:pStyle w:val="ListBullet"/>
      </w:pPr>
      <w:r>
        <w:t>Create and verify a processed dataset for subsequent logistics analysis.</w:t>
      </w:r>
    </w:p>
    <w:p>
      <w:pPr>
        <w:pStyle w:val="Heading1"/>
      </w:pPr>
      <w:r>
        <w:t>3. Dataset Used</w:t>
      </w:r>
    </w:p>
    <w:p>
      <w:r>
        <w:t>The analysis used the Olist Brazilian e-commerce orders dataset, specifically the raw orders file:</w:t>
      </w:r>
      <w:r>
        <w:rPr>
          <w:b/>
        </w:rPr>
        <w:t xml:space="preserve"> olist_orders_dataset.csv</w:t>
      </w:r>
    </w:p>
    <w:tbl>
      <w:tblPr>
        <w:tblStyle w:val="TableGrid"/>
        <w:tblW w:type="auto" w:w="0"/>
        <w:jc w:val="center"/>
        <w:tblLook w:firstColumn="1" w:firstRow="1" w:lastColumn="0" w:lastRow="0" w:noHBand="0" w:noVBand="1" w:val="04A0"/>
      </w:tblPr>
      <w:tblGrid>
        <w:gridCol w:w="5040"/>
        <w:gridCol w:w="5040"/>
      </w:tblGrid>
      <w:tr>
        <w:tc>
          <w:tcPr>
            <w:tcW w:type="dxa" w:w="3168"/>
            <w:vAlign w:val="center"/>
            <w:shd w:fill="1F4E78"/>
          </w:tcPr>
          <w:p>
            <w:r/>
            <w:r>
              <w:rPr>
                <w:rFonts w:ascii="Aptos" w:hAnsi="Aptos"/>
                <w:b/>
                <w:color w:val="FFFFFF"/>
                <w:sz w:val="18"/>
              </w:rPr>
              <w:t>Item</w:t>
            </w:r>
          </w:p>
        </w:tc>
        <w:tc>
          <w:tcPr>
            <w:tcW w:type="dxa" w:w="6768"/>
            <w:vAlign w:val="center"/>
            <w:shd w:fill="1F4E78"/>
          </w:tcPr>
          <w:p>
            <w:r/>
            <w:r>
              <w:rPr>
                <w:rFonts w:ascii="Aptos" w:hAnsi="Aptos"/>
                <w:b/>
                <w:color w:val="FFFFFF"/>
                <w:sz w:val="18"/>
              </w:rPr>
              <w:t>Details</w:t>
            </w:r>
          </w:p>
        </w:tc>
      </w:tr>
      <w:tr>
        <w:tc>
          <w:tcPr>
            <w:tcW w:type="dxa" w:w="3168"/>
            <w:vAlign w:val="center"/>
          </w:tcPr>
          <w:p>
            <w:r/>
            <w:r>
              <w:rPr>
                <w:rFonts w:ascii="Aptos" w:hAnsi="Aptos"/>
                <w:b w:val="0"/>
                <w:sz w:val="18"/>
              </w:rPr>
              <w:t>Rows</w:t>
            </w:r>
          </w:p>
        </w:tc>
        <w:tc>
          <w:tcPr>
            <w:tcW w:type="dxa" w:w="6768"/>
            <w:vAlign w:val="center"/>
          </w:tcPr>
          <w:p>
            <w:r/>
            <w:r>
              <w:rPr>
                <w:rFonts w:ascii="Aptos" w:hAnsi="Aptos"/>
                <w:b w:val="0"/>
                <w:sz w:val="18"/>
              </w:rPr>
              <w:t>99,441</w:t>
            </w:r>
          </w:p>
        </w:tc>
      </w:tr>
      <w:tr>
        <w:tc>
          <w:tcPr>
            <w:tcW w:type="dxa" w:w="3168"/>
            <w:vAlign w:val="center"/>
          </w:tcPr>
          <w:p>
            <w:r/>
            <w:r>
              <w:rPr>
                <w:rFonts w:ascii="Aptos" w:hAnsi="Aptos"/>
                <w:b w:val="0"/>
                <w:sz w:val="18"/>
              </w:rPr>
              <w:t>Columns</w:t>
            </w:r>
          </w:p>
        </w:tc>
        <w:tc>
          <w:tcPr>
            <w:tcW w:type="dxa" w:w="6768"/>
            <w:vAlign w:val="center"/>
          </w:tcPr>
          <w:p>
            <w:r/>
            <w:r>
              <w:rPr>
                <w:rFonts w:ascii="Aptos" w:hAnsi="Aptos"/>
                <w:b w:val="0"/>
                <w:sz w:val="18"/>
              </w:rPr>
              <w:t>8</w:t>
            </w:r>
          </w:p>
        </w:tc>
      </w:tr>
      <w:tr>
        <w:tc>
          <w:tcPr>
            <w:tcW w:type="dxa" w:w="3168"/>
            <w:vAlign w:val="center"/>
          </w:tcPr>
          <w:p>
            <w:r/>
            <w:r>
              <w:rPr>
                <w:rFonts w:ascii="Aptos" w:hAnsi="Aptos"/>
                <w:b w:val="0"/>
                <w:sz w:val="18"/>
              </w:rPr>
              <w:t>Duplicate rows</w:t>
            </w:r>
          </w:p>
        </w:tc>
        <w:tc>
          <w:tcPr>
            <w:tcW w:type="dxa" w:w="6768"/>
            <w:vAlign w:val="center"/>
          </w:tcPr>
          <w:p>
            <w:r/>
            <w:r>
              <w:rPr>
                <w:rFonts w:ascii="Aptos" w:hAnsi="Aptos"/>
                <w:b w:val="0"/>
                <w:sz w:val="18"/>
              </w:rPr>
              <w:t>0</w:t>
            </w:r>
          </w:p>
        </w:tc>
      </w:tr>
      <w:tr>
        <w:tc>
          <w:tcPr>
            <w:tcW w:type="dxa" w:w="3168"/>
            <w:vAlign w:val="center"/>
          </w:tcPr>
          <w:p>
            <w:r/>
            <w:r>
              <w:rPr>
                <w:rFonts w:ascii="Aptos" w:hAnsi="Aptos"/>
                <w:b w:val="0"/>
                <w:sz w:val="18"/>
              </w:rPr>
              <w:t>Duplicate order IDs</w:t>
            </w:r>
          </w:p>
        </w:tc>
        <w:tc>
          <w:tcPr>
            <w:tcW w:type="dxa" w:w="6768"/>
            <w:vAlign w:val="center"/>
          </w:tcPr>
          <w:p>
            <w:r/>
            <w:r>
              <w:rPr>
                <w:rFonts w:ascii="Aptos" w:hAnsi="Aptos"/>
                <w:b w:val="0"/>
                <w:sz w:val="18"/>
              </w:rPr>
              <w:t>0</w:t>
            </w:r>
          </w:p>
        </w:tc>
      </w:tr>
      <w:tr>
        <w:tc>
          <w:tcPr>
            <w:tcW w:type="dxa" w:w="3168"/>
            <w:vAlign w:val="center"/>
          </w:tcPr>
          <w:p>
            <w:r/>
            <w:r>
              <w:rPr>
                <w:rFonts w:ascii="Aptos" w:hAnsi="Aptos"/>
                <w:b w:val="0"/>
                <w:sz w:val="18"/>
              </w:rPr>
              <w:t>Raw file location</w:t>
            </w:r>
          </w:p>
        </w:tc>
        <w:tc>
          <w:tcPr>
            <w:tcW w:type="dxa" w:w="6768"/>
            <w:vAlign w:val="center"/>
          </w:tcPr>
          <w:p>
            <w:r/>
            <w:r>
              <w:rPr>
                <w:rFonts w:ascii="Aptos" w:hAnsi="Aptos"/>
                <w:b w:val="0"/>
                <w:sz w:val="18"/>
              </w:rPr>
              <w:t>Data\olist_orders_dataset.csv</w:t>
            </w:r>
          </w:p>
        </w:tc>
      </w:tr>
    </w:tbl>
    <w:p>
      <w:pPr>
        <w:spacing w:after="20"/>
      </w:pPr>
    </w:p>
    <w:p>
      <w:r>
        <w:t xml:space="preserve">Raw columns: </w:t>
      </w:r>
      <w:r>
        <w:rPr>
          <w:i/>
        </w:rPr>
        <w:t>order_id, customer_id, order_status, order_purchase_timestamp, order_approved_at, order_delivered_carrier_date, order_delivered_customer_date, order_estimated_delivery_date.</w:t>
      </w:r>
    </w:p>
    <w:p>
      <w:pPr>
        <w:pStyle w:val="Heading1"/>
      </w:pPr>
      <w:r>
        <w:t>4. Tools and Technologies</w:t>
      </w:r>
    </w:p>
    <w:tbl>
      <w:tblPr>
        <w:tblStyle w:val="TableGrid"/>
        <w:tblW w:type="auto" w:w="0"/>
        <w:jc w:val="center"/>
        <w:tblLook w:firstColumn="1" w:firstRow="1" w:lastColumn="0" w:lastRow="0" w:noHBand="0" w:noVBand="1" w:val="04A0"/>
      </w:tblPr>
      <w:tblGrid>
        <w:gridCol w:w="5040"/>
        <w:gridCol w:w="5040"/>
      </w:tblGrid>
      <w:tr>
        <w:tc>
          <w:tcPr>
            <w:tcW w:type="dxa" w:w="3168"/>
            <w:vAlign w:val="center"/>
            <w:shd w:fill="1F4E78"/>
          </w:tcPr>
          <w:p>
            <w:r/>
            <w:r>
              <w:rPr>
                <w:rFonts w:ascii="Aptos" w:hAnsi="Aptos"/>
                <w:b/>
                <w:color w:val="FFFFFF"/>
                <w:sz w:val="18"/>
              </w:rPr>
              <w:t>Tool / Technology</w:t>
            </w:r>
          </w:p>
        </w:tc>
        <w:tc>
          <w:tcPr>
            <w:tcW w:type="dxa" w:w="6768"/>
            <w:vAlign w:val="center"/>
            <w:shd w:fill="1F4E78"/>
          </w:tcPr>
          <w:p>
            <w:r/>
            <w:r>
              <w:rPr>
                <w:rFonts w:ascii="Aptos" w:hAnsi="Aptos"/>
                <w:b/>
                <w:color w:val="FFFFFF"/>
                <w:sz w:val="18"/>
              </w:rPr>
              <w:t>Purpose</w:t>
            </w:r>
          </w:p>
        </w:tc>
      </w:tr>
      <w:tr>
        <w:tc>
          <w:tcPr>
            <w:tcW w:type="dxa" w:w="3168"/>
            <w:vAlign w:val="center"/>
          </w:tcPr>
          <w:p>
            <w:r/>
            <w:r>
              <w:rPr>
                <w:rFonts w:ascii="Aptos" w:hAnsi="Aptos"/>
                <w:b w:val="0"/>
                <w:sz w:val="18"/>
              </w:rPr>
              <w:t>Python</w:t>
            </w:r>
          </w:p>
        </w:tc>
        <w:tc>
          <w:tcPr>
            <w:tcW w:type="dxa" w:w="6768"/>
            <w:vAlign w:val="center"/>
          </w:tcPr>
          <w:p>
            <w:r/>
            <w:r>
              <w:rPr>
                <w:rFonts w:ascii="Aptos" w:hAnsi="Aptos"/>
                <w:b w:val="0"/>
                <w:sz w:val="18"/>
              </w:rPr>
              <w:t>Preprocessing and quality checks</w:t>
            </w:r>
          </w:p>
        </w:tc>
      </w:tr>
      <w:tr>
        <w:tc>
          <w:tcPr>
            <w:tcW w:type="dxa" w:w="3168"/>
            <w:vAlign w:val="center"/>
          </w:tcPr>
          <w:p>
            <w:r/>
            <w:r>
              <w:rPr>
                <w:rFonts w:ascii="Aptos" w:hAnsi="Aptos"/>
                <w:b w:val="0"/>
                <w:sz w:val="18"/>
              </w:rPr>
              <w:t>Pandas</w:t>
            </w:r>
          </w:p>
        </w:tc>
        <w:tc>
          <w:tcPr>
            <w:tcW w:type="dxa" w:w="6768"/>
            <w:vAlign w:val="center"/>
          </w:tcPr>
          <w:p>
            <w:r/>
            <w:r>
              <w:rPr>
                <w:rFonts w:ascii="Aptos" w:hAnsi="Aptos"/>
                <w:b w:val="0"/>
                <w:sz w:val="18"/>
              </w:rPr>
              <w:t>Data loading, transformation, grouping, calculations, and export</w:t>
            </w:r>
          </w:p>
        </w:tc>
      </w:tr>
      <w:tr>
        <w:tc>
          <w:tcPr>
            <w:tcW w:type="dxa" w:w="3168"/>
            <w:vAlign w:val="center"/>
          </w:tcPr>
          <w:p>
            <w:r/>
            <w:r>
              <w:rPr>
                <w:rFonts w:ascii="Aptos" w:hAnsi="Aptos"/>
                <w:b w:val="0"/>
                <w:sz w:val="18"/>
              </w:rPr>
              <w:t>CSV</w:t>
            </w:r>
          </w:p>
        </w:tc>
        <w:tc>
          <w:tcPr>
            <w:tcW w:type="dxa" w:w="6768"/>
            <w:vAlign w:val="center"/>
          </w:tcPr>
          <w:p>
            <w:r/>
            <w:r>
              <w:rPr>
                <w:rFonts w:ascii="Aptos" w:hAnsi="Aptos"/>
                <w:b w:val="0"/>
                <w:sz w:val="18"/>
              </w:rPr>
              <w:t>Raw and processed data storage</w:t>
            </w:r>
          </w:p>
        </w:tc>
      </w:tr>
      <w:tr>
        <w:tc>
          <w:tcPr>
            <w:tcW w:type="dxa" w:w="3168"/>
            <w:vAlign w:val="center"/>
          </w:tcPr>
          <w:p>
            <w:r/>
            <w:r>
              <w:rPr>
                <w:rFonts w:ascii="Aptos" w:hAnsi="Aptos"/>
                <w:b w:val="0"/>
                <w:sz w:val="18"/>
              </w:rPr>
              <w:t>Notepad / Command Prompt</w:t>
            </w:r>
          </w:p>
        </w:tc>
        <w:tc>
          <w:tcPr>
            <w:tcW w:type="dxa" w:w="6768"/>
            <w:vAlign w:val="center"/>
          </w:tcPr>
          <w:p>
            <w:r/>
            <w:r>
              <w:rPr>
                <w:rFonts w:ascii="Aptos" w:hAnsi="Aptos"/>
                <w:b w:val="0"/>
                <w:sz w:val="18"/>
              </w:rPr>
              <w:t>Writing and running the preprocessing script</w:t>
            </w:r>
          </w:p>
        </w:tc>
      </w:tr>
    </w:tbl>
    <w:p>
      <w:pPr>
        <w:spacing w:after="20"/>
      </w:pPr>
    </w:p>
    <w:p>
      <w:pPr>
        <w:pStyle w:val="Heading1"/>
      </w:pPr>
      <w:r>
        <w:t>5. Preprocessing Methodology</w:t>
      </w:r>
    </w:p>
    <w:tbl>
      <w:tblPr>
        <w:tblStyle w:val="TableGrid"/>
        <w:tblW w:type="auto" w:w="0"/>
        <w:jc w:val="center"/>
        <w:tblLook w:firstColumn="1" w:firstRow="1" w:lastColumn="0" w:lastRow="0" w:noHBand="0" w:noVBand="1" w:val="04A0"/>
      </w:tblPr>
      <w:tblGrid>
        <w:gridCol w:w="5040"/>
        <w:gridCol w:w="5040"/>
      </w:tblGrid>
      <w:tr>
        <w:tc>
          <w:tcPr>
            <w:tcW w:type="dxa" w:w="2232"/>
            <w:vAlign w:val="center"/>
            <w:shd w:fill="1F4E78"/>
          </w:tcPr>
          <w:p>
            <w:r/>
            <w:r>
              <w:rPr>
                <w:rFonts w:ascii="Aptos" w:hAnsi="Aptos"/>
                <w:b/>
                <w:color w:val="FFFFFF"/>
                <w:sz w:val="18"/>
              </w:rPr>
              <w:t>Stage</w:t>
            </w:r>
          </w:p>
        </w:tc>
        <w:tc>
          <w:tcPr>
            <w:tcW w:type="dxa" w:w="7704"/>
            <w:vAlign w:val="center"/>
            <w:shd w:fill="1F4E78"/>
          </w:tcPr>
          <w:p>
            <w:r/>
            <w:r>
              <w:rPr>
                <w:rFonts w:ascii="Aptos" w:hAnsi="Aptos"/>
                <w:b/>
                <w:color w:val="FFFFFF"/>
                <w:sz w:val="18"/>
              </w:rPr>
              <w:t>Work Performed</w:t>
            </w:r>
          </w:p>
        </w:tc>
      </w:tr>
      <w:tr>
        <w:tc>
          <w:tcPr>
            <w:tcW w:type="dxa" w:w="2232"/>
            <w:vAlign w:val="center"/>
          </w:tcPr>
          <w:p>
            <w:r/>
            <w:r>
              <w:rPr>
                <w:rFonts w:ascii="Aptos" w:hAnsi="Aptos"/>
                <w:b w:val="0"/>
                <w:sz w:val="18"/>
              </w:rPr>
              <w:t>Data loading</w:t>
            </w:r>
          </w:p>
        </w:tc>
        <w:tc>
          <w:tcPr>
            <w:tcW w:type="dxa" w:w="7704"/>
            <w:vAlign w:val="center"/>
          </w:tcPr>
          <w:p>
            <w:r/>
            <w:r>
              <w:rPr>
                <w:rFonts w:ascii="Aptos" w:hAnsi="Aptos"/>
                <w:b w:val="0"/>
                <w:sz w:val="18"/>
              </w:rPr>
              <w:t>Loaded the raw orders CSV file into a Pandas DataFrame.</w:t>
            </w:r>
          </w:p>
        </w:tc>
      </w:tr>
      <w:tr>
        <w:tc>
          <w:tcPr>
            <w:tcW w:type="dxa" w:w="2232"/>
            <w:vAlign w:val="center"/>
          </w:tcPr>
          <w:p>
            <w:r/>
            <w:r>
              <w:rPr>
                <w:rFonts w:ascii="Aptos" w:hAnsi="Aptos"/>
                <w:b w:val="0"/>
                <w:sz w:val="18"/>
              </w:rPr>
              <w:t>Initial inspection</w:t>
            </w:r>
          </w:p>
        </w:tc>
        <w:tc>
          <w:tcPr>
            <w:tcW w:type="dxa" w:w="7704"/>
            <w:vAlign w:val="center"/>
          </w:tcPr>
          <w:p>
            <w:r/>
            <w:r>
              <w:rPr>
                <w:rFonts w:ascii="Aptos" w:hAnsi="Aptos"/>
                <w:b w:val="0"/>
                <w:sz w:val="18"/>
              </w:rPr>
              <w:t>Reviewed the first rows, dataset shape, column names, data types, and missing-value counts.</w:t>
            </w:r>
          </w:p>
        </w:tc>
      </w:tr>
      <w:tr>
        <w:tc>
          <w:tcPr>
            <w:tcW w:type="dxa" w:w="2232"/>
            <w:vAlign w:val="center"/>
          </w:tcPr>
          <w:p>
            <w:r/>
            <w:r>
              <w:rPr>
                <w:rFonts w:ascii="Aptos" w:hAnsi="Aptos"/>
                <w:b w:val="0"/>
                <w:sz w:val="18"/>
              </w:rPr>
              <w:t>Missing-value analysis</w:t>
            </w:r>
          </w:p>
        </w:tc>
        <w:tc>
          <w:tcPr>
            <w:tcW w:type="dxa" w:w="7704"/>
            <w:vAlign w:val="center"/>
          </w:tcPr>
          <w:p>
            <w:r/>
            <w:r>
              <w:rPr>
                <w:rFonts w:ascii="Aptos" w:hAnsi="Aptos"/>
                <w:b w:val="0"/>
                <w:sz w:val="18"/>
              </w:rPr>
              <w:t>Grouped missing date fields by order status to distinguish expected missing values from anomalies.</w:t>
            </w:r>
          </w:p>
        </w:tc>
      </w:tr>
      <w:tr>
        <w:tc>
          <w:tcPr>
            <w:tcW w:type="dxa" w:w="2232"/>
            <w:vAlign w:val="center"/>
          </w:tcPr>
          <w:p>
            <w:r/>
            <w:r>
              <w:rPr>
                <w:rFonts w:ascii="Aptos" w:hAnsi="Aptos"/>
                <w:b w:val="0"/>
                <w:sz w:val="18"/>
              </w:rPr>
              <w:t>Duplicate checks</w:t>
            </w:r>
          </w:p>
        </w:tc>
        <w:tc>
          <w:tcPr>
            <w:tcW w:type="dxa" w:w="7704"/>
            <w:vAlign w:val="center"/>
          </w:tcPr>
          <w:p>
            <w:r/>
            <w:r>
              <w:rPr>
                <w:rFonts w:ascii="Aptos" w:hAnsi="Aptos"/>
                <w:b w:val="0"/>
                <w:sz w:val="18"/>
              </w:rPr>
              <w:t>Checked both full-row duplicates and repeated order IDs.</w:t>
            </w:r>
          </w:p>
        </w:tc>
      </w:tr>
      <w:tr>
        <w:tc>
          <w:tcPr>
            <w:tcW w:type="dxa" w:w="2232"/>
            <w:vAlign w:val="center"/>
          </w:tcPr>
          <w:p>
            <w:r/>
            <w:r>
              <w:rPr>
                <w:rFonts w:ascii="Aptos" w:hAnsi="Aptos"/>
                <w:b w:val="0"/>
                <w:sz w:val="18"/>
              </w:rPr>
              <w:t>Date conversion</w:t>
            </w:r>
          </w:p>
        </w:tc>
        <w:tc>
          <w:tcPr>
            <w:tcW w:type="dxa" w:w="7704"/>
            <w:vAlign w:val="center"/>
          </w:tcPr>
          <w:p>
            <w:r/>
            <w:r>
              <w:rPr>
                <w:rFonts w:ascii="Aptos" w:hAnsi="Aptos"/>
                <w:b w:val="0"/>
                <w:sz w:val="18"/>
              </w:rPr>
              <w:t>Converted all five timestamp/date columns to Pandas datetime format using errors="coerce".</w:t>
            </w:r>
          </w:p>
        </w:tc>
      </w:tr>
      <w:tr>
        <w:tc>
          <w:tcPr>
            <w:tcW w:type="dxa" w:w="2232"/>
            <w:vAlign w:val="center"/>
          </w:tcPr>
          <w:p>
            <w:r/>
            <w:r>
              <w:rPr>
                <w:rFonts w:ascii="Aptos" w:hAnsi="Aptos"/>
                <w:b w:val="0"/>
                <w:sz w:val="18"/>
              </w:rPr>
              <w:t>Date validation</w:t>
            </w:r>
          </w:p>
        </w:tc>
        <w:tc>
          <w:tcPr>
            <w:tcW w:type="dxa" w:w="7704"/>
            <w:vAlign w:val="center"/>
          </w:tcPr>
          <w:p>
            <w:r/>
            <w:r>
              <w:rPr>
                <w:rFonts w:ascii="Aptos" w:hAnsi="Aptos"/>
                <w:b w:val="0"/>
                <w:sz w:val="18"/>
              </w:rPr>
              <w:t>Checked whether approval occurred before purchase, delivery occurred before purchase, customer delivery occurred before carrier delivery, and carrier delivery occurred before approval.</w:t>
            </w:r>
          </w:p>
        </w:tc>
      </w:tr>
      <w:tr>
        <w:tc>
          <w:tcPr>
            <w:tcW w:type="dxa" w:w="2232"/>
            <w:vAlign w:val="center"/>
          </w:tcPr>
          <w:p>
            <w:r/>
            <w:r>
              <w:rPr>
                <w:rFonts w:ascii="Aptos" w:hAnsi="Aptos"/>
                <w:b w:val="0"/>
                <w:sz w:val="18"/>
              </w:rPr>
              <w:t>Logistics measures</w:t>
            </w:r>
          </w:p>
        </w:tc>
        <w:tc>
          <w:tcPr>
            <w:tcW w:type="dxa" w:w="7704"/>
            <w:vAlign w:val="center"/>
          </w:tcPr>
          <w:p>
            <w:r/>
            <w:r>
              <w:rPr>
                <w:rFonts w:ascii="Aptos" w:hAnsi="Aptos"/>
                <w:b w:val="0"/>
                <w:sz w:val="18"/>
              </w:rPr>
              <w:t>Calculated delivery_time_days and delivery_delay_days, and created a late_delivery flag.</w:t>
            </w:r>
          </w:p>
        </w:tc>
      </w:tr>
      <w:tr>
        <w:tc>
          <w:tcPr>
            <w:tcW w:type="dxa" w:w="2232"/>
            <w:vAlign w:val="center"/>
          </w:tcPr>
          <w:p>
            <w:r/>
            <w:r>
              <w:rPr>
                <w:rFonts w:ascii="Aptos" w:hAnsi="Aptos"/>
                <w:b w:val="0"/>
                <w:sz w:val="18"/>
              </w:rPr>
              <w:t>Outlier analysis</w:t>
            </w:r>
          </w:p>
        </w:tc>
        <w:tc>
          <w:tcPr>
            <w:tcW w:type="dxa" w:w="7704"/>
            <w:vAlign w:val="center"/>
          </w:tcPr>
          <w:p>
            <w:r/>
            <w:r>
              <w:rPr>
                <w:rFonts w:ascii="Aptos" w:hAnsi="Aptos"/>
                <w:b w:val="0"/>
                <w:sz w:val="18"/>
              </w:rPr>
              <w:t>Used the interquartile range (IQR) rule to flag unusually long delivery times.</w:t>
            </w:r>
          </w:p>
        </w:tc>
      </w:tr>
      <w:tr>
        <w:tc>
          <w:tcPr>
            <w:tcW w:type="dxa" w:w="2232"/>
            <w:vAlign w:val="center"/>
          </w:tcPr>
          <w:p>
            <w:r/>
            <w:r>
              <w:rPr>
                <w:rFonts w:ascii="Aptos" w:hAnsi="Aptos"/>
                <w:b w:val="0"/>
                <w:sz w:val="18"/>
              </w:rPr>
              <w:t>Standardization</w:t>
            </w:r>
          </w:p>
        </w:tc>
        <w:tc>
          <w:tcPr>
            <w:tcW w:type="dxa" w:w="7704"/>
            <w:vAlign w:val="center"/>
          </w:tcPr>
          <w:p>
            <w:r/>
            <w:r>
              <w:rPr>
                <w:rFonts w:ascii="Aptos" w:hAnsi="Aptos"/>
                <w:b w:val="0"/>
                <w:sz w:val="18"/>
              </w:rPr>
              <w:t>Created a standardized delivery-time field using the z-score formula.</w:t>
            </w:r>
          </w:p>
        </w:tc>
      </w:tr>
      <w:tr>
        <w:tc>
          <w:tcPr>
            <w:tcW w:type="dxa" w:w="2232"/>
            <w:vAlign w:val="center"/>
          </w:tcPr>
          <w:p>
            <w:r/>
            <w:r>
              <w:rPr>
                <w:rFonts w:ascii="Aptos" w:hAnsi="Aptos"/>
                <w:b w:val="0"/>
                <w:sz w:val="18"/>
              </w:rPr>
              <w:t>Export</w:t>
            </w:r>
          </w:p>
        </w:tc>
        <w:tc>
          <w:tcPr>
            <w:tcW w:type="dxa" w:w="7704"/>
            <w:vAlign w:val="center"/>
          </w:tcPr>
          <w:p>
            <w:r/>
            <w:r>
              <w:rPr>
                <w:rFonts w:ascii="Aptos" w:hAnsi="Aptos"/>
                <w:b w:val="0"/>
                <w:sz w:val="18"/>
              </w:rPr>
              <w:t>Saved the processed dataset as cleaned_orders_dataset.csv in the Week 2 Dataset folder.</w:t>
            </w:r>
          </w:p>
        </w:tc>
      </w:tr>
    </w:tbl>
    <w:p>
      <w:pPr>
        <w:spacing w:after="20"/>
      </w:pPr>
    </w:p>
    <w:p>
      <w:pPr>
        <w:pStyle w:val="Heading1"/>
      </w:pPr>
      <w:r>
        <w:t>6. Missing-Value Findings</w:t>
      </w:r>
    </w:p>
    <w:p>
      <w:r>
        <w:t>The raw dataset contained missing values mainly in timestamp columns. These were not filled blindly because missing dates can be legitimate for orders that were canceled, unavailable, or still in intermediate states.</w:t>
      </w:r>
    </w:p>
    <w:tbl>
      <w:tblPr>
        <w:tblStyle w:val="TableGrid"/>
        <w:tblW w:type="auto" w:w="0"/>
        <w:jc w:val="center"/>
        <w:tblLook w:firstColumn="1" w:firstRow="1" w:lastColumn="0" w:lastRow="0" w:noHBand="0" w:noVBand="1" w:val="04A0"/>
      </w:tblPr>
      <w:tblGrid>
        <w:gridCol w:w="5040"/>
        <w:gridCol w:w="5040"/>
      </w:tblGrid>
      <w:tr>
        <w:tc>
          <w:tcPr>
            <w:tcW w:type="dxa" w:w="6912"/>
            <w:vAlign w:val="center"/>
            <w:shd w:fill="1F4E78"/>
          </w:tcPr>
          <w:p>
            <w:r/>
            <w:r>
              <w:rPr>
                <w:rFonts w:ascii="Aptos" w:hAnsi="Aptos"/>
                <w:b/>
                <w:color w:val="FFFFFF"/>
                <w:sz w:val="18"/>
              </w:rPr>
              <w:t>Column</w:t>
            </w:r>
          </w:p>
        </w:tc>
        <w:tc>
          <w:tcPr>
            <w:tcW w:type="dxa" w:w="3024"/>
            <w:vAlign w:val="center"/>
            <w:shd w:fill="1F4E78"/>
          </w:tcPr>
          <w:p>
            <w:r/>
            <w:r>
              <w:rPr>
                <w:rFonts w:ascii="Aptos" w:hAnsi="Aptos"/>
                <w:b/>
                <w:color w:val="FFFFFF"/>
                <w:sz w:val="18"/>
              </w:rPr>
              <w:t>Missing Values</w:t>
            </w:r>
          </w:p>
        </w:tc>
      </w:tr>
      <w:tr>
        <w:tc>
          <w:tcPr>
            <w:tcW w:type="dxa" w:w="6912"/>
            <w:vAlign w:val="center"/>
          </w:tcPr>
          <w:p>
            <w:r/>
            <w:r>
              <w:rPr>
                <w:rFonts w:ascii="Aptos" w:hAnsi="Aptos"/>
                <w:b w:val="0"/>
                <w:sz w:val="18"/>
              </w:rPr>
              <w:t>order_approved_at</w:t>
            </w:r>
          </w:p>
        </w:tc>
        <w:tc>
          <w:tcPr>
            <w:tcW w:type="dxa" w:w="3024"/>
            <w:vAlign w:val="center"/>
          </w:tcPr>
          <w:p>
            <w:r/>
            <w:r>
              <w:rPr>
                <w:rFonts w:ascii="Aptos" w:hAnsi="Aptos"/>
                <w:b w:val="0"/>
                <w:sz w:val="18"/>
              </w:rPr>
              <w:t>160</w:t>
            </w:r>
          </w:p>
        </w:tc>
      </w:tr>
      <w:tr>
        <w:tc>
          <w:tcPr>
            <w:tcW w:type="dxa" w:w="6912"/>
            <w:vAlign w:val="center"/>
          </w:tcPr>
          <w:p>
            <w:r/>
            <w:r>
              <w:rPr>
                <w:rFonts w:ascii="Aptos" w:hAnsi="Aptos"/>
                <w:b w:val="0"/>
                <w:sz w:val="18"/>
              </w:rPr>
              <w:t>order_delivered_carrier_date</w:t>
            </w:r>
          </w:p>
        </w:tc>
        <w:tc>
          <w:tcPr>
            <w:tcW w:type="dxa" w:w="3024"/>
            <w:vAlign w:val="center"/>
          </w:tcPr>
          <w:p>
            <w:r/>
            <w:r>
              <w:rPr>
                <w:rFonts w:ascii="Aptos" w:hAnsi="Aptos"/>
                <w:b w:val="0"/>
                <w:sz w:val="18"/>
              </w:rPr>
              <w:t>1,783</w:t>
            </w:r>
          </w:p>
        </w:tc>
      </w:tr>
      <w:tr>
        <w:tc>
          <w:tcPr>
            <w:tcW w:type="dxa" w:w="6912"/>
            <w:vAlign w:val="center"/>
          </w:tcPr>
          <w:p>
            <w:r/>
            <w:r>
              <w:rPr>
                <w:rFonts w:ascii="Aptos" w:hAnsi="Aptos"/>
                <w:b w:val="0"/>
                <w:sz w:val="18"/>
              </w:rPr>
              <w:t>order_delivered_customer_date</w:t>
            </w:r>
          </w:p>
        </w:tc>
        <w:tc>
          <w:tcPr>
            <w:tcW w:type="dxa" w:w="3024"/>
            <w:vAlign w:val="center"/>
          </w:tcPr>
          <w:p>
            <w:r/>
            <w:r>
              <w:rPr>
                <w:rFonts w:ascii="Aptos" w:hAnsi="Aptos"/>
                <w:b w:val="0"/>
                <w:sz w:val="18"/>
              </w:rPr>
              <w:t>2,965</w:t>
            </w:r>
          </w:p>
        </w:tc>
      </w:tr>
    </w:tbl>
    <w:p>
      <w:pPr>
        <w:spacing w:after="20"/>
      </w:pPr>
    </w:p>
    <w:p>
      <w:r>
        <w:rPr>
          <w:b/>
        </w:rPr>
        <w:t xml:space="preserve">Delivered orders with missing important dates: </w:t>
      </w:r>
      <w:r>
        <w:t>23</w:t>
      </w:r>
      <w:r>
        <w:t>. These records were retained for traceability instead of inventing timestamp values.</w:t>
      </w:r>
    </w:p>
    <w:p>
      <w:pPr>
        <w:pStyle w:val="Heading1"/>
      </w:pPr>
      <w:r>
        <w:t>7. Data-Quality and Date Validation Results</w:t>
      </w:r>
    </w:p>
    <w:tbl>
      <w:tblPr>
        <w:tblStyle w:val="TableGrid"/>
        <w:tblW w:type="auto" w:w="0"/>
        <w:jc w:val="center"/>
        <w:tblLook w:firstColumn="1" w:firstRow="1" w:lastColumn="0" w:lastRow="0" w:noHBand="0" w:noVBand="1" w:val="04A0"/>
      </w:tblPr>
      <w:tblGrid>
        <w:gridCol w:w="3360"/>
        <w:gridCol w:w="3360"/>
        <w:gridCol w:w="3360"/>
      </w:tblGrid>
      <w:tr>
        <w:tc>
          <w:tcPr>
            <w:tcW w:type="dxa" w:w="3528"/>
            <w:vAlign w:val="center"/>
            <w:shd w:fill="1F4E78"/>
          </w:tcPr>
          <w:p>
            <w:r/>
            <w:r>
              <w:rPr>
                <w:rFonts w:ascii="Aptos" w:hAnsi="Aptos"/>
                <w:b/>
                <w:color w:val="FFFFFF"/>
                <w:sz w:val="18"/>
              </w:rPr>
              <w:t>Validation Check</w:t>
            </w:r>
          </w:p>
        </w:tc>
        <w:tc>
          <w:tcPr>
            <w:tcW w:type="dxa" w:w="1440"/>
            <w:vAlign w:val="center"/>
            <w:shd w:fill="1F4E78"/>
          </w:tcPr>
          <w:p>
            <w:r/>
            <w:r>
              <w:rPr>
                <w:rFonts w:ascii="Aptos" w:hAnsi="Aptos"/>
                <w:b/>
                <w:color w:val="FFFFFF"/>
                <w:sz w:val="18"/>
              </w:rPr>
              <w:t>Result</w:t>
            </w:r>
          </w:p>
        </w:tc>
        <w:tc>
          <w:tcPr>
            <w:tcW w:type="dxa" w:w="4824"/>
            <w:vAlign w:val="center"/>
            <w:shd w:fill="1F4E78"/>
          </w:tcPr>
          <w:p>
            <w:r/>
            <w:r>
              <w:rPr>
                <w:rFonts w:ascii="Aptos" w:hAnsi="Aptos"/>
                <w:b/>
                <w:color w:val="FFFFFF"/>
                <w:sz w:val="18"/>
              </w:rPr>
              <w:t>Interpretation</w:t>
            </w:r>
          </w:p>
        </w:tc>
      </w:tr>
      <w:tr>
        <w:tc>
          <w:tcPr>
            <w:tcW w:type="dxa" w:w="3528"/>
            <w:vAlign w:val="center"/>
          </w:tcPr>
          <w:p>
            <w:r/>
            <w:r>
              <w:rPr>
                <w:rFonts w:ascii="Aptos" w:hAnsi="Aptos"/>
                <w:b w:val="0"/>
                <w:sz w:val="18"/>
              </w:rPr>
              <w:t>Delivered before purchase</w:t>
            </w:r>
          </w:p>
        </w:tc>
        <w:tc>
          <w:tcPr>
            <w:tcW w:type="dxa" w:w="1440"/>
            <w:vAlign w:val="center"/>
          </w:tcPr>
          <w:p>
            <w:r/>
            <w:r>
              <w:rPr>
                <w:rFonts w:ascii="Aptos" w:hAnsi="Aptos"/>
                <w:b w:val="0"/>
                <w:sz w:val="18"/>
              </w:rPr>
              <w:t>0</w:t>
            </w:r>
          </w:p>
        </w:tc>
        <w:tc>
          <w:tcPr>
            <w:tcW w:type="dxa" w:w="4824"/>
            <w:vAlign w:val="center"/>
          </w:tcPr>
          <w:p>
            <w:r/>
            <w:r>
              <w:rPr>
                <w:rFonts w:ascii="Aptos" w:hAnsi="Aptos"/>
                <w:b w:val="0"/>
                <w:sz w:val="18"/>
              </w:rPr>
              <w:t>No records violated this basic sequence.</w:t>
            </w:r>
          </w:p>
        </w:tc>
      </w:tr>
      <w:tr>
        <w:tc>
          <w:tcPr>
            <w:tcW w:type="dxa" w:w="3528"/>
            <w:vAlign w:val="center"/>
          </w:tcPr>
          <w:p>
            <w:r/>
            <w:r>
              <w:rPr>
                <w:rFonts w:ascii="Aptos" w:hAnsi="Aptos"/>
                <w:b w:val="0"/>
                <w:sz w:val="18"/>
              </w:rPr>
              <w:t>Customer delivery before carrier delivery</w:t>
            </w:r>
          </w:p>
        </w:tc>
        <w:tc>
          <w:tcPr>
            <w:tcW w:type="dxa" w:w="1440"/>
            <w:vAlign w:val="center"/>
          </w:tcPr>
          <w:p>
            <w:r/>
            <w:r>
              <w:rPr>
                <w:rFonts w:ascii="Aptos" w:hAnsi="Aptos"/>
                <w:b w:val="0"/>
                <w:sz w:val="18"/>
              </w:rPr>
              <w:t>23</w:t>
            </w:r>
          </w:p>
        </w:tc>
        <w:tc>
          <w:tcPr>
            <w:tcW w:type="dxa" w:w="4824"/>
            <w:vAlign w:val="center"/>
          </w:tcPr>
          <w:p>
            <w:r/>
            <w:r>
              <w:rPr>
                <w:rFonts w:ascii="Aptos" w:hAnsi="Aptos"/>
                <w:b w:val="0"/>
                <w:sz w:val="18"/>
              </w:rPr>
              <w:t>Date inconsistency; retained and flagged.</w:t>
            </w:r>
          </w:p>
        </w:tc>
      </w:tr>
      <w:tr>
        <w:tc>
          <w:tcPr>
            <w:tcW w:type="dxa" w:w="3528"/>
            <w:vAlign w:val="center"/>
          </w:tcPr>
          <w:p>
            <w:r/>
            <w:r>
              <w:rPr>
                <w:rFonts w:ascii="Aptos" w:hAnsi="Aptos"/>
                <w:b w:val="0"/>
                <w:sz w:val="18"/>
              </w:rPr>
              <w:t>Approved before purchase</w:t>
            </w:r>
          </w:p>
        </w:tc>
        <w:tc>
          <w:tcPr>
            <w:tcW w:type="dxa" w:w="1440"/>
            <w:vAlign w:val="center"/>
          </w:tcPr>
          <w:p>
            <w:r/>
            <w:r>
              <w:rPr>
                <w:rFonts w:ascii="Aptos" w:hAnsi="Aptos"/>
                <w:b w:val="0"/>
                <w:sz w:val="18"/>
              </w:rPr>
              <w:t>0</w:t>
            </w:r>
          </w:p>
        </w:tc>
        <w:tc>
          <w:tcPr>
            <w:tcW w:type="dxa" w:w="4824"/>
            <w:vAlign w:val="center"/>
          </w:tcPr>
          <w:p>
            <w:r/>
            <w:r>
              <w:rPr>
                <w:rFonts w:ascii="Aptos" w:hAnsi="Aptos"/>
                <w:b w:val="0"/>
                <w:sz w:val="18"/>
              </w:rPr>
              <w:t>No records violated this sequence.</w:t>
            </w:r>
          </w:p>
        </w:tc>
      </w:tr>
      <w:tr>
        <w:tc>
          <w:tcPr>
            <w:tcW w:type="dxa" w:w="3528"/>
            <w:vAlign w:val="center"/>
          </w:tcPr>
          <w:p>
            <w:r/>
            <w:r>
              <w:rPr>
                <w:rFonts w:ascii="Aptos" w:hAnsi="Aptos"/>
                <w:b w:val="0"/>
                <w:sz w:val="18"/>
              </w:rPr>
              <w:t>Carrier delivery before approval</w:t>
            </w:r>
          </w:p>
        </w:tc>
        <w:tc>
          <w:tcPr>
            <w:tcW w:type="dxa" w:w="1440"/>
            <w:vAlign w:val="center"/>
          </w:tcPr>
          <w:p>
            <w:r/>
            <w:r>
              <w:rPr>
                <w:rFonts w:ascii="Aptos" w:hAnsi="Aptos"/>
                <w:b w:val="0"/>
                <w:sz w:val="18"/>
              </w:rPr>
              <w:t>1,359</w:t>
            </w:r>
          </w:p>
        </w:tc>
        <w:tc>
          <w:tcPr>
            <w:tcW w:type="dxa" w:w="4824"/>
            <w:vAlign w:val="center"/>
          </w:tcPr>
          <w:p>
            <w:r/>
            <w:r>
              <w:rPr>
                <w:rFonts w:ascii="Aptos" w:hAnsi="Aptos"/>
                <w:b w:val="0"/>
                <w:sz w:val="18"/>
              </w:rPr>
              <w:t>Timestamp inconsistency; retained and flagged.</w:t>
            </w:r>
          </w:p>
        </w:tc>
      </w:tr>
      <w:tr>
        <w:tc>
          <w:tcPr>
            <w:tcW w:type="dxa" w:w="3528"/>
            <w:vAlign w:val="center"/>
          </w:tcPr>
          <w:p>
            <w:r/>
            <w:r>
              <w:rPr>
                <w:rFonts w:ascii="Aptos" w:hAnsi="Aptos"/>
                <w:b w:val="0"/>
                <w:sz w:val="18"/>
              </w:rPr>
              <w:t>Delivered after estimated delivery</w:t>
            </w:r>
          </w:p>
        </w:tc>
        <w:tc>
          <w:tcPr>
            <w:tcW w:type="dxa" w:w="1440"/>
            <w:vAlign w:val="center"/>
          </w:tcPr>
          <w:p>
            <w:r/>
            <w:r>
              <w:rPr>
                <w:rFonts w:ascii="Aptos" w:hAnsi="Aptos"/>
                <w:b w:val="0"/>
                <w:sz w:val="18"/>
              </w:rPr>
              <w:t>7,827</w:t>
            </w:r>
          </w:p>
        </w:tc>
        <w:tc>
          <w:tcPr>
            <w:tcW w:type="dxa" w:w="4824"/>
            <w:vAlign w:val="center"/>
          </w:tcPr>
          <w:p>
            <w:r/>
            <w:r>
              <w:rPr>
                <w:rFonts w:ascii="Aptos" w:hAnsi="Aptos"/>
                <w:b w:val="0"/>
                <w:sz w:val="18"/>
              </w:rPr>
              <w:t>Late deliveries; useful logistics information, not automatically bad data.</w:t>
            </w:r>
          </w:p>
        </w:tc>
      </w:tr>
    </w:tbl>
    <w:p>
      <w:pPr>
        <w:spacing w:after="20"/>
      </w:pPr>
    </w:p>
    <w:p>
      <w:pPr>
        <w:pStyle w:val="SmallNote"/>
      </w:pPr>
      <w:r>
        <w:t>Interpretation note: Date inconsistencies were treated as data-quality findings rather than reasons to automatically delete rows. Source-system timestamp behavior may require further business validation.</w:t>
      </w:r>
    </w:p>
    <w:p>
      <w:pPr>
        <w:pStyle w:val="Heading1"/>
      </w:pPr>
      <w:r>
        <w:t>8. Delivery-Time Analysis</w:t>
      </w:r>
    </w:p>
    <w:p>
      <w:r>
        <w:t>For orders with a recorded customer delivery timestamp, delivery time was calculated as the difference between customer delivery and purchase timestamps, expressed in days.</w:t>
      </w:r>
    </w:p>
    <w:tbl>
      <w:tblPr>
        <w:tblStyle w:val="TableGrid"/>
        <w:tblW w:type="auto" w:w="0"/>
        <w:jc w:val="center"/>
        <w:tblLook w:firstColumn="1" w:firstRow="1" w:lastColumn="0" w:lastRow="0" w:noHBand="0" w:noVBand="1" w:val="04A0"/>
      </w:tblPr>
      <w:tblGrid>
        <w:gridCol w:w="5040"/>
        <w:gridCol w:w="5040"/>
      </w:tblGrid>
      <w:tr>
        <w:tc>
          <w:tcPr>
            <w:tcW w:type="dxa" w:w="6912"/>
            <w:vAlign w:val="center"/>
            <w:shd w:fill="1F4E78"/>
          </w:tcPr>
          <w:p>
            <w:r/>
            <w:r>
              <w:rPr>
                <w:rFonts w:ascii="Aptos" w:hAnsi="Aptos"/>
                <w:b/>
                <w:color w:val="FFFFFF"/>
                <w:sz w:val="18"/>
              </w:rPr>
              <w:t>Statistic</w:t>
            </w:r>
          </w:p>
        </w:tc>
        <w:tc>
          <w:tcPr>
            <w:tcW w:type="dxa" w:w="3024"/>
            <w:vAlign w:val="center"/>
            <w:shd w:fill="1F4E78"/>
          </w:tcPr>
          <w:p>
            <w:r/>
            <w:r>
              <w:rPr>
                <w:rFonts w:ascii="Aptos" w:hAnsi="Aptos"/>
                <w:b/>
                <w:color w:val="FFFFFF"/>
                <w:sz w:val="18"/>
              </w:rPr>
              <w:t>Value (days)</w:t>
            </w:r>
          </w:p>
        </w:tc>
      </w:tr>
      <w:tr>
        <w:tc>
          <w:tcPr>
            <w:tcW w:type="dxa" w:w="6912"/>
            <w:vAlign w:val="center"/>
          </w:tcPr>
          <w:p>
            <w:r/>
            <w:r>
              <w:rPr>
                <w:rFonts w:ascii="Aptos" w:hAnsi="Aptos"/>
                <w:b w:val="0"/>
                <w:sz w:val="18"/>
              </w:rPr>
              <w:t>Valid delivery-time records</w:t>
            </w:r>
          </w:p>
        </w:tc>
        <w:tc>
          <w:tcPr>
            <w:tcW w:type="dxa" w:w="3024"/>
            <w:vAlign w:val="center"/>
          </w:tcPr>
          <w:p>
            <w:r/>
            <w:r>
              <w:rPr>
                <w:rFonts w:ascii="Aptos" w:hAnsi="Aptos"/>
                <w:b w:val="0"/>
                <w:sz w:val="18"/>
              </w:rPr>
              <w:t>96,476</w:t>
            </w:r>
          </w:p>
        </w:tc>
      </w:tr>
      <w:tr>
        <w:tc>
          <w:tcPr>
            <w:tcW w:type="dxa" w:w="6912"/>
            <w:vAlign w:val="center"/>
          </w:tcPr>
          <w:p>
            <w:r/>
            <w:r>
              <w:rPr>
                <w:rFonts w:ascii="Aptos" w:hAnsi="Aptos"/>
                <w:b w:val="0"/>
                <w:sz w:val="18"/>
              </w:rPr>
              <w:t>Mean</w:t>
            </w:r>
          </w:p>
        </w:tc>
        <w:tc>
          <w:tcPr>
            <w:tcW w:type="dxa" w:w="3024"/>
            <w:vAlign w:val="center"/>
          </w:tcPr>
          <w:p>
            <w:r/>
            <w:r>
              <w:rPr>
                <w:rFonts w:ascii="Aptos" w:hAnsi="Aptos"/>
                <w:b w:val="0"/>
                <w:sz w:val="18"/>
              </w:rPr>
              <w:t>12.5587</w:t>
            </w:r>
          </w:p>
        </w:tc>
      </w:tr>
      <w:tr>
        <w:tc>
          <w:tcPr>
            <w:tcW w:type="dxa" w:w="6912"/>
            <w:vAlign w:val="center"/>
          </w:tcPr>
          <w:p>
            <w:r/>
            <w:r>
              <w:rPr>
                <w:rFonts w:ascii="Aptos" w:hAnsi="Aptos"/>
                <w:b w:val="0"/>
                <w:sz w:val="18"/>
              </w:rPr>
              <w:t>Standard deviation</w:t>
            </w:r>
          </w:p>
        </w:tc>
        <w:tc>
          <w:tcPr>
            <w:tcW w:type="dxa" w:w="3024"/>
            <w:vAlign w:val="center"/>
          </w:tcPr>
          <w:p>
            <w:r/>
            <w:r>
              <w:rPr>
                <w:rFonts w:ascii="Aptos" w:hAnsi="Aptos"/>
                <w:b w:val="0"/>
                <w:sz w:val="18"/>
              </w:rPr>
              <w:t>9.5465</w:t>
            </w:r>
          </w:p>
        </w:tc>
      </w:tr>
      <w:tr>
        <w:tc>
          <w:tcPr>
            <w:tcW w:type="dxa" w:w="6912"/>
            <w:vAlign w:val="center"/>
          </w:tcPr>
          <w:p>
            <w:r/>
            <w:r>
              <w:rPr>
                <w:rFonts w:ascii="Aptos" w:hAnsi="Aptos"/>
                <w:b w:val="0"/>
                <w:sz w:val="18"/>
              </w:rPr>
              <w:t>Minimum</w:t>
            </w:r>
          </w:p>
        </w:tc>
        <w:tc>
          <w:tcPr>
            <w:tcW w:type="dxa" w:w="3024"/>
            <w:vAlign w:val="center"/>
          </w:tcPr>
          <w:p>
            <w:r/>
            <w:r>
              <w:rPr>
                <w:rFonts w:ascii="Aptos" w:hAnsi="Aptos"/>
                <w:b w:val="0"/>
                <w:sz w:val="18"/>
              </w:rPr>
              <w:t>0.5334</w:t>
            </w:r>
          </w:p>
        </w:tc>
      </w:tr>
      <w:tr>
        <w:tc>
          <w:tcPr>
            <w:tcW w:type="dxa" w:w="6912"/>
            <w:vAlign w:val="center"/>
          </w:tcPr>
          <w:p>
            <w:r/>
            <w:r>
              <w:rPr>
                <w:rFonts w:ascii="Aptos" w:hAnsi="Aptos"/>
                <w:b w:val="0"/>
                <w:sz w:val="18"/>
              </w:rPr>
              <w:t>25th percentile</w:t>
            </w:r>
          </w:p>
        </w:tc>
        <w:tc>
          <w:tcPr>
            <w:tcW w:type="dxa" w:w="3024"/>
            <w:vAlign w:val="center"/>
          </w:tcPr>
          <w:p>
            <w:r/>
            <w:r>
              <w:rPr>
                <w:rFonts w:ascii="Aptos" w:hAnsi="Aptos"/>
                <w:b w:val="0"/>
                <w:sz w:val="18"/>
              </w:rPr>
              <w:t>6.7664</w:t>
            </w:r>
          </w:p>
        </w:tc>
      </w:tr>
      <w:tr>
        <w:tc>
          <w:tcPr>
            <w:tcW w:type="dxa" w:w="6912"/>
            <w:vAlign w:val="center"/>
          </w:tcPr>
          <w:p>
            <w:r/>
            <w:r>
              <w:rPr>
                <w:rFonts w:ascii="Aptos" w:hAnsi="Aptos"/>
                <w:b w:val="0"/>
                <w:sz w:val="18"/>
              </w:rPr>
              <w:t>Median</w:t>
            </w:r>
          </w:p>
        </w:tc>
        <w:tc>
          <w:tcPr>
            <w:tcW w:type="dxa" w:w="3024"/>
            <w:vAlign w:val="center"/>
          </w:tcPr>
          <w:p>
            <w:r/>
            <w:r>
              <w:rPr>
                <w:rFonts w:ascii="Aptos" w:hAnsi="Aptos"/>
                <w:b w:val="0"/>
                <w:sz w:val="18"/>
              </w:rPr>
              <w:t>10.2178</w:t>
            </w:r>
          </w:p>
        </w:tc>
      </w:tr>
      <w:tr>
        <w:tc>
          <w:tcPr>
            <w:tcW w:type="dxa" w:w="6912"/>
            <w:vAlign w:val="center"/>
          </w:tcPr>
          <w:p>
            <w:r/>
            <w:r>
              <w:rPr>
                <w:rFonts w:ascii="Aptos" w:hAnsi="Aptos"/>
                <w:b w:val="0"/>
                <w:sz w:val="18"/>
              </w:rPr>
              <w:t>75th percentile</w:t>
            </w:r>
          </w:p>
        </w:tc>
        <w:tc>
          <w:tcPr>
            <w:tcW w:type="dxa" w:w="3024"/>
            <w:vAlign w:val="center"/>
          </w:tcPr>
          <w:p>
            <w:r/>
            <w:r>
              <w:rPr>
                <w:rFonts w:ascii="Aptos" w:hAnsi="Aptos"/>
                <w:b w:val="0"/>
                <w:sz w:val="18"/>
              </w:rPr>
              <w:t>15.7203</w:t>
            </w:r>
          </w:p>
        </w:tc>
      </w:tr>
      <w:tr>
        <w:tc>
          <w:tcPr>
            <w:tcW w:type="dxa" w:w="6912"/>
            <w:vAlign w:val="center"/>
          </w:tcPr>
          <w:p>
            <w:r/>
            <w:r>
              <w:rPr>
                <w:rFonts w:ascii="Aptos" w:hAnsi="Aptos"/>
                <w:b w:val="0"/>
                <w:sz w:val="18"/>
              </w:rPr>
              <w:t>Maximum</w:t>
            </w:r>
          </w:p>
        </w:tc>
        <w:tc>
          <w:tcPr>
            <w:tcW w:type="dxa" w:w="3024"/>
            <w:vAlign w:val="center"/>
          </w:tcPr>
          <w:p>
            <w:r/>
            <w:r>
              <w:rPr>
                <w:rFonts w:ascii="Aptos" w:hAnsi="Aptos"/>
                <w:b w:val="0"/>
                <w:sz w:val="18"/>
              </w:rPr>
              <w:t>209.6286</w:t>
            </w:r>
          </w:p>
        </w:tc>
      </w:tr>
    </w:tbl>
    <w:p>
      <w:pPr>
        <w:spacing w:after="20"/>
      </w:pPr>
    </w:p>
    <w:p>
      <w:pPr>
        <w:pStyle w:val="Heading1"/>
      </w:pPr>
      <w:r>
        <w:t>9. Outlier Detection</w:t>
      </w:r>
    </w:p>
    <w:p>
      <w:r>
        <w:t>The IQR method was applied to delivery_time_days. The upper threshold was 29.1512 days. Values above this threshold were flagged as potential delivery-time outliers.</w:t>
      </w:r>
    </w:p>
    <w:tbl>
      <w:tblPr>
        <w:tblStyle w:val="TableGrid"/>
        <w:tblW w:type="auto" w:w="0"/>
        <w:jc w:val="center"/>
        <w:tblLook w:firstColumn="1" w:firstRow="1" w:lastColumn="0" w:lastRow="0" w:noHBand="0" w:noVBand="1" w:val="04A0"/>
      </w:tblPr>
      <w:tblGrid>
        <w:gridCol w:w="5040"/>
        <w:gridCol w:w="5040"/>
      </w:tblGrid>
      <w:tr>
        <w:tc>
          <w:tcPr>
            <w:tcW w:type="dxa" w:w="6912"/>
            <w:vAlign w:val="center"/>
            <w:shd w:fill="1F4E78"/>
          </w:tcPr>
          <w:p>
            <w:r/>
            <w:r>
              <w:rPr>
                <w:rFonts w:ascii="Aptos" w:hAnsi="Aptos"/>
                <w:b/>
                <w:color w:val="FFFFFF"/>
                <w:sz w:val="18"/>
              </w:rPr>
              <w:t>Measure</w:t>
            </w:r>
          </w:p>
        </w:tc>
        <w:tc>
          <w:tcPr>
            <w:tcW w:type="dxa" w:w="3024"/>
            <w:vAlign w:val="center"/>
            <w:shd w:fill="1F4E78"/>
          </w:tcPr>
          <w:p>
            <w:r/>
            <w:r>
              <w:rPr>
                <w:rFonts w:ascii="Aptos" w:hAnsi="Aptos"/>
                <w:b/>
                <w:color w:val="FFFFFF"/>
                <w:sz w:val="18"/>
              </w:rPr>
              <w:t>Value</w:t>
            </w:r>
          </w:p>
        </w:tc>
      </w:tr>
      <w:tr>
        <w:tc>
          <w:tcPr>
            <w:tcW w:type="dxa" w:w="6912"/>
            <w:vAlign w:val="center"/>
          </w:tcPr>
          <w:p>
            <w:r/>
            <w:r>
              <w:rPr>
                <w:rFonts w:ascii="Aptos" w:hAnsi="Aptos"/>
                <w:b w:val="0"/>
                <w:sz w:val="18"/>
              </w:rPr>
              <w:t>Q1</w:t>
            </w:r>
          </w:p>
        </w:tc>
        <w:tc>
          <w:tcPr>
            <w:tcW w:type="dxa" w:w="3024"/>
            <w:vAlign w:val="center"/>
          </w:tcPr>
          <w:p>
            <w:r/>
            <w:r>
              <w:rPr>
                <w:rFonts w:ascii="Aptos" w:hAnsi="Aptos"/>
                <w:b w:val="0"/>
                <w:sz w:val="18"/>
              </w:rPr>
              <w:t>6.7664 days</w:t>
            </w:r>
          </w:p>
        </w:tc>
      </w:tr>
      <w:tr>
        <w:tc>
          <w:tcPr>
            <w:tcW w:type="dxa" w:w="6912"/>
            <w:vAlign w:val="center"/>
          </w:tcPr>
          <w:p>
            <w:r/>
            <w:r>
              <w:rPr>
                <w:rFonts w:ascii="Aptos" w:hAnsi="Aptos"/>
                <w:b w:val="0"/>
                <w:sz w:val="18"/>
              </w:rPr>
              <w:t>Q3</w:t>
            </w:r>
          </w:p>
        </w:tc>
        <w:tc>
          <w:tcPr>
            <w:tcW w:type="dxa" w:w="3024"/>
            <w:vAlign w:val="center"/>
          </w:tcPr>
          <w:p>
            <w:r/>
            <w:r>
              <w:rPr>
                <w:rFonts w:ascii="Aptos" w:hAnsi="Aptos"/>
                <w:b w:val="0"/>
                <w:sz w:val="18"/>
              </w:rPr>
              <w:t>15.7203 days</w:t>
            </w:r>
          </w:p>
        </w:tc>
      </w:tr>
      <w:tr>
        <w:tc>
          <w:tcPr>
            <w:tcW w:type="dxa" w:w="6912"/>
            <w:vAlign w:val="center"/>
          </w:tcPr>
          <w:p>
            <w:r/>
            <w:r>
              <w:rPr>
                <w:rFonts w:ascii="Aptos" w:hAnsi="Aptos"/>
                <w:b w:val="0"/>
                <w:sz w:val="18"/>
              </w:rPr>
              <w:t>IQR</w:t>
            </w:r>
          </w:p>
        </w:tc>
        <w:tc>
          <w:tcPr>
            <w:tcW w:type="dxa" w:w="3024"/>
            <w:vAlign w:val="center"/>
          </w:tcPr>
          <w:p>
            <w:r/>
            <w:r>
              <w:rPr>
                <w:rFonts w:ascii="Aptos" w:hAnsi="Aptos"/>
                <w:b w:val="0"/>
                <w:sz w:val="18"/>
              </w:rPr>
              <w:t>8.9539 days</w:t>
            </w:r>
          </w:p>
        </w:tc>
      </w:tr>
      <w:tr>
        <w:tc>
          <w:tcPr>
            <w:tcW w:type="dxa" w:w="6912"/>
            <w:vAlign w:val="center"/>
          </w:tcPr>
          <w:p>
            <w:r/>
            <w:r>
              <w:rPr>
                <w:rFonts w:ascii="Aptos" w:hAnsi="Aptos"/>
                <w:b w:val="0"/>
                <w:sz w:val="18"/>
              </w:rPr>
              <w:t>Lower IQR limit</w:t>
            </w:r>
          </w:p>
        </w:tc>
        <w:tc>
          <w:tcPr>
            <w:tcW w:type="dxa" w:w="3024"/>
            <w:vAlign w:val="center"/>
          </w:tcPr>
          <w:p>
            <w:r/>
            <w:r>
              <w:rPr>
                <w:rFonts w:ascii="Aptos" w:hAnsi="Aptos"/>
                <w:b w:val="0"/>
                <w:sz w:val="18"/>
              </w:rPr>
              <w:t>-6.6645 days</w:t>
            </w:r>
          </w:p>
        </w:tc>
      </w:tr>
      <w:tr>
        <w:tc>
          <w:tcPr>
            <w:tcW w:type="dxa" w:w="6912"/>
            <w:vAlign w:val="center"/>
          </w:tcPr>
          <w:p>
            <w:r/>
            <w:r>
              <w:rPr>
                <w:rFonts w:ascii="Aptos" w:hAnsi="Aptos"/>
                <w:b w:val="0"/>
                <w:sz w:val="18"/>
              </w:rPr>
              <w:t>Upper IQR limit</w:t>
            </w:r>
          </w:p>
        </w:tc>
        <w:tc>
          <w:tcPr>
            <w:tcW w:type="dxa" w:w="3024"/>
            <w:vAlign w:val="center"/>
          </w:tcPr>
          <w:p>
            <w:r/>
            <w:r>
              <w:rPr>
                <w:rFonts w:ascii="Aptos" w:hAnsi="Aptos"/>
                <w:b w:val="0"/>
                <w:sz w:val="18"/>
              </w:rPr>
              <w:t>29.1512 days</w:t>
            </w:r>
          </w:p>
        </w:tc>
      </w:tr>
      <w:tr>
        <w:tc>
          <w:tcPr>
            <w:tcW w:type="dxa" w:w="6912"/>
            <w:vAlign w:val="center"/>
          </w:tcPr>
          <w:p>
            <w:r/>
            <w:r>
              <w:rPr>
                <w:rFonts w:ascii="Aptos" w:hAnsi="Aptos"/>
                <w:b w:val="0"/>
                <w:sz w:val="18"/>
              </w:rPr>
              <w:t>Outliers flagged</w:t>
            </w:r>
          </w:p>
        </w:tc>
        <w:tc>
          <w:tcPr>
            <w:tcW w:type="dxa" w:w="3024"/>
            <w:vAlign w:val="center"/>
          </w:tcPr>
          <w:p>
            <w:r/>
            <w:r>
              <w:rPr>
                <w:rFonts w:ascii="Aptos" w:hAnsi="Aptos"/>
                <w:b w:val="0"/>
                <w:sz w:val="18"/>
              </w:rPr>
              <w:t>4,899</w:t>
            </w:r>
          </w:p>
        </w:tc>
      </w:tr>
    </w:tbl>
    <w:p>
      <w:pPr>
        <w:spacing w:after="20"/>
      </w:pPr>
    </w:p>
    <w:p>
      <w:r>
        <w:rPr>
          <w:b/>
        </w:rPr>
        <w:t xml:space="preserve">Handling decision: </w:t>
      </w:r>
      <w:r>
        <w:t>The 4,899 flagged values were not deleted. Very long delivery times may represent real operational delays and can be important for logistics performance analysis. The processed dataset stores an outlier flag for later analysis.</w:t>
      </w:r>
    </w:p>
    <w:p>
      <w:pPr>
        <w:pStyle w:val="Heading1"/>
      </w:pPr>
      <w:r>
        <w:t>10. Cleaning and Transformation Decisions</w:t>
      </w:r>
    </w:p>
    <w:tbl>
      <w:tblPr>
        <w:tblStyle w:val="TableGrid"/>
        <w:tblW w:type="auto" w:w="0"/>
        <w:jc w:val="center"/>
        <w:tblLook w:firstColumn="1" w:firstRow="1" w:lastColumn="0" w:lastRow="0" w:noHBand="0" w:noVBand="1" w:val="04A0"/>
      </w:tblPr>
      <w:tblGrid>
        <w:gridCol w:w="5040"/>
        <w:gridCol w:w="5040"/>
      </w:tblGrid>
      <w:tr>
        <w:tc>
          <w:tcPr>
            <w:tcW w:type="dxa" w:w="3384"/>
            <w:vAlign w:val="center"/>
            <w:shd w:fill="1F4E78"/>
          </w:tcPr>
          <w:p>
            <w:r/>
            <w:r>
              <w:rPr>
                <w:rFonts w:ascii="Aptos" w:hAnsi="Aptos"/>
                <w:b/>
                <w:color w:val="FFFFFF"/>
                <w:sz w:val="18"/>
              </w:rPr>
              <w:t>Data Issue</w:t>
            </w:r>
          </w:p>
        </w:tc>
        <w:tc>
          <w:tcPr>
            <w:tcW w:type="dxa" w:w="6552"/>
            <w:vAlign w:val="center"/>
            <w:shd w:fill="1F4E78"/>
          </w:tcPr>
          <w:p>
            <w:r/>
            <w:r>
              <w:rPr>
                <w:rFonts w:ascii="Aptos" w:hAnsi="Aptos"/>
                <w:b/>
                <w:color w:val="FFFFFF"/>
                <w:sz w:val="18"/>
              </w:rPr>
              <w:t>Decision</w:t>
            </w:r>
          </w:p>
        </w:tc>
      </w:tr>
      <w:tr>
        <w:tc>
          <w:tcPr>
            <w:tcW w:type="dxa" w:w="3384"/>
            <w:vAlign w:val="center"/>
          </w:tcPr>
          <w:p>
            <w:r/>
            <w:r>
              <w:rPr>
                <w:rFonts w:ascii="Aptos" w:hAnsi="Aptos"/>
                <w:b w:val="0"/>
                <w:sz w:val="18"/>
              </w:rPr>
              <w:t>Missing timestamps</w:t>
            </w:r>
          </w:p>
        </w:tc>
        <w:tc>
          <w:tcPr>
            <w:tcW w:type="dxa" w:w="6552"/>
            <w:vAlign w:val="center"/>
          </w:tcPr>
          <w:p>
            <w:r/>
            <w:r>
              <w:rPr>
                <w:rFonts w:ascii="Aptos" w:hAnsi="Aptos"/>
                <w:b w:val="0"/>
                <w:sz w:val="18"/>
              </w:rPr>
              <w:t>Retain missing values where they are valid for the order status; do not invent dates.</w:t>
            </w:r>
          </w:p>
        </w:tc>
      </w:tr>
      <w:tr>
        <w:tc>
          <w:tcPr>
            <w:tcW w:type="dxa" w:w="3384"/>
            <w:vAlign w:val="center"/>
          </w:tcPr>
          <w:p>
            <w:r/>
            <w:r>
              <w:rPr>
                <w:rFonts w:ascii="Aptos" w:hAnsi="Aptos"/>
                <w:b w:val="0"/>
                <w:sz w:val="18"/>
              </w:rPr>
              <w:t>Duplicate full rows</w:t>
            </w:r>
          </w:p>
        </w:tc>
        <w:tc>
          <w:tcPr>
            <w:tcW w:type="dxa" w:w="6552"/>
            <w:vAlign w:val="center"/>
          </w:tcPr>
          <w:p>
            <w:r/>
            <w:r>
              <w:rPr>
                <w:rFonts w:ascii="Aptos" w:hAnsi="Aptos"/>
                <w:b w:val="0"/>
                <w:sz w:val="18"/>
              </w:rPr>
              <w:t>No action required because duplicate count was 0.</w:t>
            </w:r>
          </w:p>
        </w:tc>
      </w:tr>
      <w:tr>
        <w:tc>
          <w:tcPr>
            <w:tcW w:type="dxa" w:w="3384"/>
            <w:vAlign w:val="center"/>
          </w:tcPr>
          <w:p>
            <w:r/>
            <w:r>
              <w:rPr>
                <w:rFonts w:ascii="Aptos" w:hAnsi="Aptos"/>
                <w:b w:val="0"/>
                <w:sz w:val="18"/>
              </w:rPr>
              <w:t>Duplicate order IDs</w:t>
            </w:r>
          </w:p>
        </w:tc>
        <w:tc>
          <w:tcPr>
            <w:tcW w:type="dxa" w:w="6552"/>
            <w:vAlign w:val="center"/>
          </w:tcPr>
          <w:p>
            <w:r/>
            <w:r>
              <w:rPr>
                <w:rFonts w:ascii="Aptos" w:hAnsi="Aptos"/>
                <w:b w:val="0"/>
                <w:sz w:val="18"/>
              </w:rPr>
              <w:t>No action required because duplicate count was 0.</w:t>
            </w:r>
          </w:p>
        </w:tc>
      </w:tr>
      <w:tr>
        <w:tc>
          <w:tcPr>
            <w:tcW w:type="dxa" w:w="3384"/>
            <w:vAlign w:val="center"/>
          </w:tcPr>
          <w:p>
            <w:r/>
            <w:r>
              <w:rPr>
                <w:rFonts w:ascii="Aptos" w:hAnsi="Aptos"/>
                <w:b w:val="0"/>
                <w:sz w:val="18"/>
              </w:rPr>
              <w:t>Date fields stored as text</w:t>
            </w:r>
          </w:p>
        </w:tc>
        <w:tc>
          <w:tcPr>
            <w:tcW w:type="dxa" w:w="6552"/>
            <w:vAlign w:val="center"/>
          </w:tcPr>
          <w:p>
            <w:r/>
            <w:r>
              <w:rPr>
                <w:rFonts w:ascii="Aptos" w:hAnsi="Aptos"/>
                <w:b w:val="0"/>
                <w:sz w:val="18"/>
              </w:rPr>
              <w:t>Convert timestamp columns to datetime format.</w:t>
            </w:r>
          </w:p>
        </w:tc>
      </w:tr>
      <w:tr>
        <w:tc>
          <w:tcPr>
            <w:tcW w:type="dxa" w:w="3384"/>
            <w:vAlign w:val="center"/>
          </w:tcPr>
          <w:p>
            <w:r/>
            <w:r>
              <w:rPr>
                <w:rFonts w:ascii="Aptos" w:hAnsi="Aptos"/>
                <w:b w:val="0"/>
                <w:sz w:val="18"/>
              </w:rPr>
              <w:t>Date sequence inconsistencies</w:t>
            </w:r>
          </w:p>
        </w:tc>
        <w:tc>
          <w:tcPr>
            <w:tcW w:type="dxa" w:w="6552"/>
            <w:vAlign w:val="center"/>
          </w:tcPr>
          <w:p>
            <w:r/>
            <w:r>
              <w:rPr>
                <w:rFonts w:ascii="Aptos" w:hAnsi="Aptos"/>
                <w:b w:val="0"/>
                <w:sz w:val="18"/>
              </w:rPr>
              <w:t>Retain records and create validation flags for investigation.</w:t>
            </w:r>
          </w:p>
        </w:tc>
      </w:tr>
      <w:tr>
        <w:tc>
          <w:tcPr>
            <w:tcW w:type="dxa" w:w="3384"/>
            <w:vAlign w:val="center"/>
          </w:tcPr>
          <w:p>
            <w:r/>
            <w:r>
              <w:rPr>
                <w:rFonts w:ascii="Aptos" w:hAnsi="Aptos"/>
                <w:b w:val="0"/>
                <w:sz w:val="18"/>
              </w:rPr>
              <w:t>Late deliveries</w:t>
            </w:r>
          </w:p>
        </w:tc>
        <w:tc>
          <w:tcPr>
            <w:tcW w:type="dxa" w:w="6552"/>
            <w:vAlign w:val="center"/>
          </w:tcPr>
          <w:p>
            <w:r/>
            <w:r>
              <w:rPr>
                <w:rFonts w:ascii="Aptos" w:hAnsi="Aptos"/>
                <w:b w:val="0"/>
                <w:sz w:val="18"/>
              </w:rPr>
              <w:t>Retain and create late_delivery flag.</w:t>
            </w:r>
          </w:p>
        </w:tc>
      </w:tr>
      <w:tr>
        <w:tc>
          <w:tcPr>
            <w:tcW w:type="dxa" w:w="3384"/>
            <w:vAlign w:val="center"/>
          </w:tcPr>
          <w:p>
            <w:r/>
            <w:r>
              <w:rPr>
                <w:rFonts w:ascii="Aptos" w:hAnsi="Aptos"/>
                <w:b w:val="0"/>
                <w:sz w:val="18"/>
              </w:rPr>
              <w:t>Long delivery times</w:t>
            </w:r>
          </w:p>
        </w:tc>
        <w:tc>
          <w:tcPr>
            <w:tcW w:type="dxa" w:w="6552"/>
            <w:vAlign w:val="center"/>
          </w:tcPr>
          <w:p>
            <w:r/>
            <w:r>
              <w:rPr>
                <w:rFonts w:ascii="Aptos" w:hAnsi="Aptos"/>
                <w:b w:val="0"/>
                <w:sz w:val="18"/>
              </w:rPr>
              <w:t>Retain and create delivery_time_outlier flag using the IQR rule.</w:t>
            </w:r>
          </w:p>
        </w:tc>
      </w:tr>
      <w:tr>
        <w:tc>
          <w:tcPr>
            <w:tcW w:type="dxa" w:w="3384"/>
            <w:vAlign w:val="center"/>
          </w:tcPr>
          <w:p>
            <w:r/>
            <w:r>
              <w:rPr>
                <w:rFonts w:ascii="Aptos" w:hAnsi="Aptos"/>
                <w:b w:val="0"/>
                <w:sz w:val="18"/>
              </w:rPr>
              <w:t>Delivery-time standardization</w:t>
            </w:r>
          </w:p>
        </w:tc>
        <w:tc>
          <w:tcPr>
            <w:tcW w:type="dxa" w:w="6552"/>
            <w:vAlign w:val="center"/>
          </w:tcPr>
          <w:p>
            <w:r/>
            <w:r>
              <w:rPr>
                <w:rFonts w:ascii="Aptos" w:hAnsi="Aptos"/>
                <w:b w:val="0"/>
                <w:sz w:val="18"/>
              </w:rPr>
              <w:t>Create delivery_time_standardized using a z-score calculation when a delivery time exists.</w:t>
            </w:r>
          </w:p>
        </w:tc>
      </w:tr>
    </w:tbl>
    <w:p>
      <w:pPr>
        <w:spacing w:after="20"/>
      </w:pPr>
    </w:p>
    <w:p>
      <w:pPr>
        <w:pStyle w:val="Heading1"/>
      </w:pPr>
      <w:r>
        <w:t>11. Processed Dataset Output</w:t>
      </w:r>
    </w:p>
    <w:p>
      <w:r>
        <w:t>The preprocessing script successfully produced the processed dataset:</w:t>
      </w:r>
      <w:r>
        <w:rPr>
          <w:b/>
        </w:rPr>
        <w:t xml:space="preserve"> cleaned_orders_dataset.csv</w:t>
      </w:r>
    </w:p>
    <w:tbl>
      <w:tblPr>
        <w:tblStyle w:val="TableGrid"/>
        <w:tblW w:type="auto" w:w="0"/>
        <w:jc w:val="center"/>
        <w:tblLook w:firstColumn="1" w:firstRow="1" w:lastColumn="0" w:lastRow="0" w:noHBand="0" w:noVBand="1" w:val="04A0"/>
      </w:tblPr>
      <w:tblGrid>
        <w:gridCol w:w="5040"/>
        <w:gridCol w:w="5040"/>
      </w:tblGrid>
      <w:tr>
        <w:tc>
          <w:tcPr>
            <w:tcW w:type="dxa" w:w="3888"/>
            <w:vAlign w:val="center"/>
            <w:shd w:fill="1F4E78"/>
          </w:tcPr>
          <w:p>
            <w:r/>
            <w:r>
              <w:rPr>
                <w:rFonts w:ascii="Aptos" w:hAnsi="Aptos"/>
                <w:b/>
                <w:color w:val="FFFFFF"/>
                <w:sz w:val="18"/>
              </w:rPr>
              <w:t>Output Property</w:t>
            </w:r>
          </w:p>
        </w:tc>
        <w:tc>
          <w:tcPr>
            <w:tcW w:type="dxa" w:w="6048"/>
            <w:vAlign w:val="center"/>
            <w:shd w:fill="1F4E78"/>
          </w:tcPr>
          <w:p>
            <w:r/>
            <w:r>
              <w:rPr>
                <w:rFonts w:ascii="Aptos" w:hAnsi="Aptos"/>
                <w:b/>
                <w:color w:val="FFFFFF"/>
                <w:sz w:val="18"/>
              </w:rPr>
              <w:t>Result</w:t>
            </w:r>
          </w:p>
        </w:tc>
      </w:tr>
      <w:tr>
        <w:tc>
          <w:tcPr>
            <w:tcW w:type="dxa" w:w="3888"/>
            <w:vAlign w:val="center"/>
          </w:tcPr>
          <w:p>
            <w:r/>
            <w:r>
              <w:rPr>
                <w:rFonts w:ascii="Aptos" w:hAnsi="Aptos"/>
                <w:b w:val="0"/>
                <w:sz w:val="18"/>
              </w:rPr>
              <w:t>Rows</w:t>
            </w:r>
          </w:p>
        </w:tc>
        <w:tc>
          <w:tcPr>
            <w:tcW w:type="dxa" w:w="6048"/>
            <w:vAlign w:val="center"/>
          </w:tcPr>
          <w:p>
            <w:r/>
            <w:r>
              <w:rPr>
                <w:rFonts w:ascii="Aptos" w:hAnsi="Aptos"/>
                <w:b w:val="0"/>
                <w:sz w:val="18"/>
              </w:rPr>
              <w:t>99,441</w:t>
            </w:r>
          </w:p>
        </w:tc>
      </w:tr>
      <w:tr>
        <w:tc>
          <w:tcPr>
            <w:tcW w:type="dxa" w:w="3888"/>
            <w:vAlign w:val="center"/>
          </w:tcPr>
          <w:p>
            <w:r/>
            <w:r>
              <w:rPr>
                <w:rFonts w:ascii="Aptos" w:hAnsi="Aptos"/>
                <w:b w:val="0"/>
                <w:sz w:val="18"/>
              </w:rPr>
              <w:t>Columns</w:t>
            </w:r>
          </w:p>
        </w:tc>
        <w:tc>
          <w:tcPr>
            <w:tcW w:type="dxa" w:w="6048"/>
            <w:vAlign w:val="center"/>
          </w:tcPr>
          <w:p>
            <w:r/>
            <w:r>
              <w:rPr>
                <w:rFonts w:ascii="Aptos" w:hAnsi="Aptos"/>
                <w:b w:val="0"/>
                <w:sz w:val="18"/>
              </w:rPr>
              <w:t>17</w:t>
            </w:r>
          </w:p>
        </w:tc>
      </w:tr>
      <w:tr>
        <w:tc>
          <w:tcPr>
            <w:tcW w:type="dxa" w:w="3888"/>
            <w:vAlign w:val="center"/>
          </w:tcPr>
          <w:p>
            <w:r/>
            <w:r>
              <w:rPr>
                <w:rFonts w:ascii="Aptos" w:hAnsi="Aptos"/>
                <w:b w:val="0"/>
                <w:sz w:val="18"/>
              </w:rPr>
              <w:t>Duplicate rows</w:t>
            </w:r>
          </w:p>
        </w:tc>
        <w:tc>
          <w:tcPr>
            <w:tcW w:type="dxa" w:w="6048"/>
            <w:vAlign w:val="center"/>
          </w:tcPr>
          <w:p>
            <w:r/>
            <w:r>
              <w:rPr>
                <w:rFonts w:ascii="Aptos" w:hAnsi="Aptos"/>
                <w:b w:val="0"/>
                <w:sz w:val="18"/>
              </w:rPr>
              <w:t>0</w:t>
            </w:r>
          </w:p>
        </w:tc>
      </w:tr>
      <w:tr>
        <w:tc>
          <w:tcPr>
            <w:tcW w:type="dxa" w:w="3888"/>
            <w:vAlign w:val="center"/>
          </w:tcPr>
          <w:p>
            <w:r/>
            <w:r>
              <w:rPr>
                <w:rFonts w:ascii="Aptos" w:hAnsi="Aptos"/>
                <w:b w:val="0"/>
                <w:sz w:val="18"/>
              </w:rPr>
              <w:t>Output folder</w:t>
            </w:r>
          </w:p>
        </w:tc>
        <w:tc>
          <w:tcPr>
            <w:tcW w:type="dxa" w:w="6048"/>
            <w:vAlign w:val="center"/>
          </w:tcPr>
          <w:p>
            <w:r/>
            <w:r>
              <w:rPr>
                <w:rFonts w:ascii="Aptos" w:hAnsi="Aptos"/>
                <w:b w:val="0"/>
                <w:sz w:val="18"/>
              </w:rPr>
              <w:t>Data\Week 2 Dataset</w:t>
            </w:r>
          </w:p>
        </w:tc>
      </w:tr>
      <w:tr>
        <w:tc>
          <w:tcPr>
            <w:tcW w:type="dxa" w:w="3888"/>
            <w:vAlign w:val="center"/>
          </w:tcPr>
          <w:p>
            <w:r/>
            <w:r>
              <w:rPr>
                <w:rFonts w:ascii="Aptos" w:hAnsi="Aptos"/>
                <w:b w:val="0"/>
                <w:sz w:val="18"/>
              </w:rPr>
              <w:t>Output file</w:t>
            </w:r>
          </w:p>
        </w:tc>
        <w:tc>
          <w:tcPr>
            <w:tcW w:type="dxa" w:w="6048"/>
            <w:vAlign w:val="center"/>
          </w:tcPr>
          <w:p>
            <w:r/>
            <w:r>
              <w:rPr>
                <w:rFonts w:ascii="Aptos" w:hAnsi="Aptos"/>
                <w:b w:val="0"/>
                <w:sz w:val="18"/>
              </w:rPr>
              <w:t>cleaned_orders_dataset.csv</w:t>
            </w:r>
          </w:p>
        </w:tc>
      </w:tr>
    </w:tbl>
    <w:p>
      <w:pPr>
        <w:spacing w:after="20"/>
      </w:pPr>
    </w:p>
    <w:p>
      <w:r>
        <w:t xml:space="preserve">New analysis fields created: </w:t>
      </w:r>
      <w:r>
        <w:rPr>
          <w:i/>
        </w:rPr>
        <w:t>delivery_time_days, delivery_delay_days, late_delivery, invalid_delivery_before_purchase, invalid_customer_before_carrier, invalid_approval_before_purchase, invalid_carrier_before_approval, delivery_time_outlier, and delivery_time_standardized.</w:t>
      </w:r>
    </w:p>
    <w:p>
      <w:pPr>
        <w:pStyle w:val="Heading1"/>
      </w:pPr>
      <w:r>
        <w:t>12. Conclusion</w:t>
      </w:r>
    </w:p>
    <w:p>
      <w:r>
        <w:rPr>
          <w:b/>
        </w:rPr>
        <w:t xml:space="preserve">Week 2 successfully converted the raw logistics order data into a structured and analysis-ready dataset. </w:t>
      </w:r>
      <w:r>
        <w:t>The work established that the dataset contains no duplicate rows or duplicate order IDs, and the main timestamp fields were converted to datetime format. Missing values were investigated in context instead of being filled with artificial values. Date-quality issues, late deliveries, and unusually long delivery times were identified and flagged while preserving the original records. The resulting processed file can now be used for further logistics performance analysis, visualization, and reporting.</w:t>
      </w:r>
    </w:p>
    <w:p>
      <w:pPr>
        <w:pStyle w:val="Heading1"/>
      </w:pPr>
      <w:r>
        <w:t>13. Next Steps</w:t>
      </w:r>
    </w:p>
    <w:p>
      <w:pPr>
        <w:pStyle w:val="ListBullet"/>
      </w:pPr>
      <w:r>
        <w:t>Use the processed dataset for deeper logistics KPI analysis.</w:t>
      </w:r>
    </w:p>
    <w:p>
      <w:pPr>
        <w:pStyle w:val="ListBullet"/>
      </w:pPr>
      <w:r>
        <w:t>Create visualizations for delivery time, late deliveries, and order status.</w:t>
      </w:r>
    </w:p>
    <w:p>
      <w:pPr>
        <w:pStyle w:val="ListBullet"/>
      </w:pPr>
      <w:r>
        <w:t>Document the Week 2 work in the internship GitHub project.</w:t>
      </w:r>
    </w:p>
    <w:p>
      <w:pPr>
        <w:pStyle w:val="ListBullet"/>
      </w:pPr>
      <w:r>
        <w:t>Use the cleaned dataset as the input for the next internship task.</w:t>
      </w:r>
    </w:p>
    <w:p>
      <w:pPr>
        <w:pStyle w:val="Heading1"/>
      </w:pPr>
      <w:r>
        <w:t>Appendix A - Script and File Structure</w:t>
      </w:r>
    </w:p>
    <w:p>
      <w:r>
        <w:t xml:space="preserve">Python script: </w:t>
      </w:r>
      <w:r>
        <w:rPr>
          <w:b/>
        </w:rPr>
        <w:t>Python\week2_preprocessing\preprocessing.py</w:t>
      </w:r>
    </w:p>
    <w:p>
      <w:r>
        <w:t xml:space="preserve">Processed output: </w:t>
      </w:r>
      <w:r>
        <w:rPr>
          <w:b/>
        </w:rPr>
        <w:t>Data\Week 2 Dataset\cleaned_orders_dataset.csv</w:t>
      </w:r>
    </w:p>
    <w:p>
      <w:pPr>
        <w:pStyle w:val="SmallNote"/>
      </w:pPr>
      <w:r>
        <w:t>The raw olist_orders_dataset.csv file was not overwritten. The processed file was saved separately to preserve the original source data.</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Prepared by Abhinaya Sri Korapala  |  Week 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LOGISTICS DATA ANALYST INTERNSHIP | WEEK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F4E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color w:val="5A5A5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