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Representation Learning for Spatiotemporal Physical Systems: Engineering Isotropic Latent Topologies for Active Matter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Representation Learning Paradigm in Physical Simulations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convergence of self-supervised machine learning and physical numerical simulations represents one of the most critical frontiers in modern computational science. The objective of modeling high-dimensional spatiotemporal physics without relying on explicit parameter supervision demands representations that capture the intrinsic, underlying dynamics of the system rather than superficial, high-frequency pixel-level patterns. In this specific context, the active_matter dataset—a subset of The Well benchmark—provides an exceptionally rigorous testing ground for evaluating the efficacy of advanced representation learning algorithms.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overarching challenge involves training a parameter-efficient encoder from scratch to compress a massive, 52-gigabyte dataset of complex fluid dynamics into a latent space from which fundamental governing physical constants can be linearly decoded.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evaluation constraint dictates that these underlying physical parameters—specifically, the active dipole strength (</w:t>
      </w:r>
      <w:r w:rsidDel="00000000" w:rsidR="00000000" w:rsidRPr="00000000">
        <w:rPr>
          <w:rFonts w:ascii="Google Sans" w:cs="Google Sans" w:eastAsia="Google Sans" w:hAnsi="Google Sans"/>
          <w:color w:val="1f1f1f"/>
        </w:rPr>
        <w:drawing>
          <wp:inline distB="19050" distT="19050" distL="19050" distR="19050">
            <wp:extent cx="118616" cy="237232"/>
            <wp:effectExtent b="0" l="0" r="0" t="0"/>
            <wp:docPr id="38"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118616" cy="2372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steric alignment (</w:t>
      </w:r>
      <w:r w:rsidDel="00000000" w:rsidR="00000000" w:rsidRPr="00000000">
        <w:rPr>
          <w:rFonts w:ascii="Google Sans" w:cs="Google Sans" w:eastAsia="Google Sans" w:hAnsi="Google Sans"/>
          <w:color w:val="1f1f1f"/>
        </w:rPr>
        <w:drawing>
          <wp:inline distB="19050" distT="19050" distL="19050" distR="19050">
            <wp:extent cx="94357" cy="226457"/>
            <wp:effectExtent b="0" l="0" r="0" t="0"/>
            <wp:docPr id="4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94357" cy="2264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)—must be predicted using only simple, frozen-encoder downstream regression models, strictly limited to a single linear probing layer and a k-Nearest Neighbors (k-NN) regressor.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prohibition of complex multilayer perceptrons (MLPs), attentive pooling mechanisms, or end-to-end fine-tuning during the evaluation phase shifts the entire computational burden of physical abstraction onto the unsupervised encoder.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Recent baseline evaluations utilizing the Variance-Invariance-Covariance Regularization (VICReg) objective within a Joint-Embedding Predictive Architecture (JEPA) have yielded Mean Squared Errors (MSE) stubbornly hovering in the range of 0.6 to 0.7.</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plateau indicates a fundamental misalignment between the geometry of the latent space enforced by VICReg and the strict Euclidean distance assumptions inherent in downstream linear and distance-based regressors.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report proposes a paradigm shift in both the optimization objective and the architectural backbone of the encoder. It advocates for the complete abandonment of VICReg in favor of Sketched Isotropic Gaussian Regularization (SIGReg)—the core mathematical objective underpinning the LeJEPA (Latent Euclidean Joint-Embedding Predictive Architecture) framework.</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Furthermore, it details the design and deployment of a highly optimized, spatiotemporal 3D ConvNeXt encoder, scaled to remain strictly under the 100-million parameter limit while maximizing receptive field density.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coupling the mathematically rigorous dimensional collapse prevention of SIGReg with the superior multiphase physical modeling capabilities of a modernized convolutional backbone, the resulting representations are engineered to perfectly align with the isotropic assumptions required for sub-0.1 MSE performance in k-NN and linear regression tasks.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Deconstructing the Physical Domain: The Active Matter Dataset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engineer an optimal representation learning encoder, one must first fundamentally deconstruct the physical phenomena it is tasked with modeling. The active_matter dataset mathematically simulates the continuum dynamics of biological active matter.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Specifically, it models the complex behaviors of rod-like active particles suspended within a viscous Stokes fluid.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Unlike passive fluids driven entirely by external boundary conditions or global pressure gradients, active matter systems are composed of independent agents that continuously transform local chemical energy into mechanical work.</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energy injection generates active forces and stresses at the microscopic scale, which are then transmitted throughout the entire fluid system via direct steric (physical) interactions and long-range hydrodynamic coupling.</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Dimensionality and Channel Representation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computational scale of this dataset is massive, comprising approximately 52 gigabytes of high-resolution simulation data.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Each discrete sample within the dataset is a spatiotemporal grid encompassing 16 sequential time steps, with a spatial resolution of 224x224 pixels, and featuring 11 distinct physical channels.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original raw simulations were processed from 81 time steps at a 256x256 resolution, strategically windowed to ensure that the prediction tasks remain non-trivial and effectively capture the temporal evolution of the system.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11 physical channels are not arbitrary visual arrays; they are precise mathematical fields representing the complete macroscopic state of the fluid at any given point in Euclidean space and time.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concentration field utilizes a single scalar channel to represent the local density of the active particles.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velocity field requires two channels to capture the 2D fluid flow vectors induced by particle movement and the resulting hydrodynamic interactions.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orientation tensor field utilizes four channels to describe the local average orientation, or nematic order, of the rod-like particles.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Finally, the strain-rate tensor field, also occupying four channels, mathematically describes the rate of fluid deformation, which is paramount for understanding the viscous dissipation and the transfer of kinetic energy across varying spatial scales.</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Physical Field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Channel Count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Mathematical Representation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Physical Significance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Concentration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Channel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Scalar Field (</w:t>
            </w:r>
            <w:r w:rsidDel="00000000" w:rsidR="00000000" w:rsidRPr="00000000">
              <w:rPr>
                <w:rFonts w:ascii="Google Sans" w:cs="Google Sans" w:eastAsia="Google Sans" w:hAnsi="Google Sans"/>
                <w:color w:val="1f1f1f"/>
              </w:rPr>
              <w:drawing>
                <wp:inline distB="19050" distT="19050" distL="19050" distR="19050">
                  <wp:extent cx="79921" cy="239762"/>
                  <wp:effectExtent b="0" l="0" r="0" t="0"/>
                  <wp:docPr id="39" name="image35.png"/>
                  <a:graphic>
                    <a:graphicData uri="http://schemas.openxmlformats.org/drawingml/2006/picture">
                      <pic:pic>
                        <pic:nvPicPr>
                          <pic:cNvPr id="0" name="image35.png"/>
                          <pic:cNvPicPr preferRelativeResize="0"/>
                        </pic:nvPicPr>
                        <pic:blipFill>
                          <a:blip r:embed="rId8"/>
                          <a:srcRect b="0" l="0" r="0" t="0"/>
                          <a:stretch>
                            <a:fillRect/>
                          </a:stretch>
                        </pic:blipFill>
                        <pic:spPr>
                          <a:xfrm>
                            <a:off x="0" y="0"/>
                            <a:ext cx="79921" cy="2397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density distribution of active particles.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Velocity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Channels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 Field (</w:t>
            </w:r>
            <w:r w:rsidDel="00000000" w:rsidR="00000000" w:rsidRPr="00000000">
              <w:rPr>
                <w:rFonts w:ascii="Google Sans" w:cs="Google Sans" w:eastAsia="Google Sans" w:hAnsi="Google Sans"/>
                <w:color w:val="1f1f1f"/>
              </w:rPr>
              <w:drawing>
                <wp:inline distB="19050" distT="19050" distL="19050" distR="19050">
                  <wp:extent cx="114895" cy="229791"/>
                  <wp:effectExtent b="0" l="0" r="0" t="0"/>
                  <wp:docPr id="42"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114895" cy="2297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2D fluid flow induced by hydrodynamic coupling.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Orientation Tensor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Channels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Tensor Field (</w:t>
            </w:r>
            <w:r w:rsidDel="00000000" w:rsidR="00000000" w:rsidRPr="00000000">
              <w:rPr>
                <w:rFonts w:ascii="Google Sans" w:cs="Google Sans" w:eastAsia="Google Sans" w:hAnsi="Google Sans"/>
                <w:color w:val="1f1f1f"/>
              </w:rPr>
              <w:drawing>
                <wp:inline distB="19050" distT="19050" distL="19050" distR="19050">
                  <wp:extent cx="159395" cy="225028"/>
                  <wp:effectExtent b="0" l="0" r="0" t="0"/>
                  <wp:docPr id="41"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159395" cy="2250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Nematic alignment and structural order of particles.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Strain-Rate Tensor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Channels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Tensor Field (</w:t>
            </w:r>
            <w:r w:rsidDel="00000000" w:rsidR="00000000" w:rsidRPr="00000000">
              <w:rPr>
                <w:rFonts w:ascii="Google Sans" w:cs="Google Sans" w:eastAsia="Google Sans" w:hAnsi="Google Sans"/>
                <w:color w:val="1f1f1f"/>
              </w:rPr>
              <w:drawing>
                <wp:inline distB="19050" distT="19050" distL="19050" distR="19050">
                  <wp:extent cx="139452" cy="223123"/>
                  <wp:effectExtent b="0" l="0" r="0" t="0"/>
                  <wp:docPr id="46" name="image40.png"/>
                  <a:graphic>
                    <a:graphicData uri="http://schemas.openxmlformats.org/drawingml/2006/picture">
                      <pic:pic>
                        <pic:nvPicPr>
                          <pic:cNvPr id="0" name="image40.png"/>
                          <pic:cNvPicPr preferRelativeResize="0"/>
                        </pic:nvPicPr>
                        <pic:blipFill>
                          <a:blip r:embed="rId11"/>
                          <a:srcRect b="0" l="0" r="0" t="0"/>
                          <a:stretch>
                            <a:fillRect/>
                          </a:stretch>
                        </pic:blipFill>
                        <pic:spPr>
                          <a:xfrm>
                            <a:off x="0" y="0"/>
                            <a:ext cx="139452" cy="2231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Fluid deformation rate and viscous energy dissipation.</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Table 1: Breakdown of the 11 physical channels comprising the active_matter dataset, detailing their mathematical structures and underlying physical significance.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Target Variables: Dipole Strength (</w:t>
      </w:r>
      <w:r w:rsidDel="00000000" w:rsidR="00000000" w:rsidRPr="00000000">
        <w:rPr>
          <w:rFonts w:ascii="Google Sans" w:cs="Google Sans" w:eastAsia="Google Sans" w:hAnsi="Google Sans"/>
          <w:color w:val="1f1f1f"/>
        </w:rPr>
        <w:drawing>
          <wp:inline distB="19050" distT="19050" distL="19050" distR="19050">
            <wp:extent cx="118616" cy="237232"/>
            <wp:effectExtent b="0" l="0" r="0" t="0"/>
            <wp:docPr id="45"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118616" cy="2372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Steric Alignment (</w:t>
      </w:r>
      <w:r w:rsidDel="00000000" w:rsidR="00000000" w:rsidRPr="00000000">
        <w:rPr>
          <w:rFonts w:ascii="Google Sans" w:cs="Google Sans" w:eastAsia="Google Sans" w:hAnsi="Google Sans"/>
          <w:color w:val="1f1f1f"/>
        </w:rPr>
        <w:drawing>
          <wp:inline distB="19050" distT="19050" distL="19050" distR="19050">
            <wp:extent cx="94357" cy="226457"/>
            <wp:effectExtent b="0" l="0" r="0" t="0"/>
            <wp:docPr id="5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94357" cy="2264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ultimate objective of the linear probing and k-NN regression tasks is to infer two fundamental physical constants that govern the entire simulation's trajectory from the frozen representations.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first parameter, the active dipole strength (denoted as </w:t>
      </w:r>
      <w:r w:rsidDel="00000000" w:rsidR="00000000" w:rsidRPr="00000000">
        <w:rPr>
          <w:rFonts w:ascii="Google Sans" w:cs="Google Sans" w:eastAsia="Google Sans" w:hAnsi="Google Sans"/>
          <w:color w:val="1f1f1f"/>
        </w:rPr>
        <w:drawing>
          <wp:inline distB="19050" distT="19050" distL="19050" distR="19050">
            <wp:extent cx="118616" cy="237232"/>
            <wp:effectExtent b="0" l="0" r="0" t="0"/>
            <wp:docPr id="49"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118616" cy="2372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takes one of five discrete values within the dataset.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parameter controls the absolute magnitude of the active stress exerted by the particles on the surrounding fluid.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It essentially dictates the quantum of energy injected into the system at the microscopic scale, which subsequently cascades upward to drive macroscopic turbulent-like flows and chaotic vorticity.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parameter, steric alignment (denoted as </w:t>
      </w:r>
      <w:r w:rsidDel="00000000" w:rsidR="00000000" w:rsidRPr="00000000">
        <w:rPr>
          <w:rFonts w:ascii="Google Sans" w:cs="Google Sans" w:eastAsia="Google Sans" w:hAnsi="Google Sans"/>
          <w:color w:val="1f1f1f"/>
        </w:rPr>
        <w:drawing>
          <wp:inline distB="19050" distT="19050" distL="19050" distR="19050">
            <wp:extent cx="94357" cy="226457"/>
            <wp:effectExtent b="0" l="0" r="0" t="0"/>
            <wp:docPr id="5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94357" cy="2264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takes one of nine discrete values.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constant controls the strength of the alignment interactions between neighboring particles, dictating the overall propensity of the fluidic system to spontaneously transition from a chaotic, isotropic state into highly ordered, nematic bands.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Across the dataset, there are 45 unique combinations of these two governing parameters.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evaluation protocol strictly dictates treating the prediction of these normalized constants as a continuous regression task utilizing Mean Squared Error (MSE) loss, explicitly forbidding any treatment of the problem as a discrete 45-class classification task.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these parameters are global, time-invariant constants that dictate the local dynamic evolution of the 11 fields, an effective encoder must capture both the local spatial gradients (e.g., how the orientation tensor aligns with the velocity field at a specific coordinate) and the global temporal evolution (e.g., the rate at which turbulent kinetic energy cascades over the 16 frames).</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Paradigm Shift: Predictive Latent Spaces Over Pixel Reconstruction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machine learning approaches tailored for physical systems and video understanding have relied heavily on autoregressive pixel-level reconstruction frameworks. Methodologies such as Masked Autoencoders (MAE), VideoMAE, and fluid-specific autoregressive transformers operate by attempting to predict the exact, granular state of the physical fields at the next time step or within masked spatiotemporal patches.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as demonstrated in recent literature evaluating The Well dataset, predicting the exact granular evolution of highly chaotic physical systems like active matter turbulence forces the model to expend vast amounts of its parameter capacity attempting to memorize high-frequency, stochastic noise.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Joint-Embedding Predictive Architectures (JEPAs) fundamentally circumvent this computational bottleneck by entirely shifting the prediction objective from the granular pixel space to a learned, abstract latent space.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a JEPA framework, the model is tasked with predicting the abstract representations of future states (or masked regions) based on the unmasked context.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By operating exclusively in the latent space, JEPAs implicitly learn to filter out unpredictable, high-frequency physical noise while retaining the underlying, deterministic semantic information.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 the context of the active_matter challenge, this deterministic information perfectly aligns with the parameters </w:t>
      </w:r>
      <w:r w:rsidDel="00000000" w:rsidR="00000000" w:rsidRPr="00000000">
        <w:rPr>
          <w:rFonts w:ascii="Google Sans" w:cs="Google Sans" w:eastAsia="Google Sans" w:hAnsi="Google Sans"/>
          <w:color w:val="1f1f1f"/>
        </w:rPr>
        <w:drawing>
          <wp:inline distB="19050" distT="19050" distL="19050" distR="19050">
            <wp:extent cx="118616" cy="237232"/>
            <wp:effectExtent b="0" l="0" r="0" t="0"/>
            <wp:docPr id="52"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118616" cy="2372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94357" cy="226457"/>
            <wp:effectExtent b="0" l="0" r="0" t="0"/>
            <wp:docPr id="5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94357" cy="2264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drive the overarching fluid dynamics regardless of stochastic micro-fluctuations.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Recent studies, notably those by Qu et al. (arXiv:2603.13227), have empirically verified that latent prediction objectives consistently produce representations that are significantly more physically informative and sample-efficient for downstream scientific parameter estimation compared to pixel-level reconstruction and autoregressive surrogate models.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Pathological Failures of VICReg in Euclidean Latent Spaces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shift to latent prediction resolves the issue of modeling stochastic noise, it introduces a severe vulnerability: representation collapse. In the absence of a pixel-level reconstruction loss to ground the network, a JEPA encoder can trivialize the optimization objective by simply mapping all diverse inputs to a single, constant latent vector, thereby perfectly minimizing the prediction distance to zero without learning any meaningful physics.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prevent this catastrophic collapse, researchers initially relied on heuristic architectural tricks, such as stop-gradient operations (SimSiam), teacher-student networks with exponential moving average (EMA) momentum updates (BYOL, standard I-JEPA), or explicit statistical regularization algorithms like Variance-Invariance-Covariance Regularization (VICReg).</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user's baseline implementation, which resulted in an MSE of 0.6 to 0.7, utilized the VICReg objective.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understand why this performance plateau exists, one must dissect the mathematical operations of VICReg and how they detrimentally interact with the specific requirements of linear probing and k-NN regression. VICReg operates by independently enforcing three distinct mathematical conditions on the batch of latent embeddings during training:</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Variance:</w:t>
      </w:r>
      <w:r w:rsidDel="00000000" w:rsidR="00000000" w:rsidRPr="00000000">
        <w:rPr>
          <w:rFonts w:ascii="Google Sans" w:cs="Google Sans" w:eastAsia="Google Sans" w:hAnsi="Google Sans"/>
          <w:color w:val="1f1f1f"/>
          <w:rtl w:val="0"/>
        </w:rPr>
        <w:t xml:space="preserve"> It utilizes a hinge loss mechanism to push the variance of each individual embedding dimension above a predefined threshold (typically 1.0). This prevents the vectors from collapsing to a single coordinate point.</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Invariance:</w:t>
      </w:r>
      <w:r w:rsidDel="00000000" w:rsidR="00000000" w:rsidRPr="00000000">
        <w:rPr>
          <w:rFonts w:ascii="Google Sans" w:cs="Google Sans" w:eastAsia="Google Sans" w:hAnsi="Google Sans"/>
          <w:color w:val="1f1f1f"/>
          <w:rtl w:val="0"/>
        </w:rPr>
        <w:t xml:space="preserve"> It minimizes the Mean Squared Error between the representations of the predicted context view and the actual target view, encouraging the network to learn consistent physics across time steps.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Covariance:</w:t>
      </w:r>
      <w:r w:rsidDel="00000000" w:rsidR="00000000" w:rsidRPr="00000000">
        <w:rPr>
          <w:rFonts w:ascii="Google Sans" w:cs="Google Sans" w:eastAsia="Google Sans" w:hAnsi="Google Sans"/>
          <w:color w:val="1f1f1f"/>
          <w:rtl w:val="0"/>
        </w:rPr>
        <w:t xml:space="preserve"> It calculates the covariance matrix of the batch embeddings and heavily penalizes the off-diagonal terms, driving them toward zero. This theoretically decorrelates the dimensions, forcing the network to distribute distinct physical features across the latent vector rather than redundantly encoding them.</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VICReg provides a functional baseline, it suffers from profound theoretical and practical limitations when the downstream evaluation is restricted to frozen Euclidean distance metrics.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First, the optimization process is notoriously unstable and hypersensitive to the tuning of its regularization coefficients; minute deviations in the weighting of the variance or covariance terms can lead to suboptimal convergence or rapid dimensional collapse.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More critically, driving the off-diagonal terms of the covariance matrix to zero merely guarantees that the latent dimensions are linearly uncorrelated.</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It does absolutely nothing to constrain the actual geometric shape or higher-order moments of the marginal distributions.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Under VICReg, a specific latent dimension could evolve to possess a highly skewed, bimodal, or heavy-tailed distribution, so long as its variance meets the threshold and its linear correlation with other dimensions remains zero.</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lack of geometric constraint is fatal for k-Nearest Neighbors regression.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k-NN algorithm operates purely on spatial distance metrics, almost universally relying on the Euclidean distance (</w:t>
      </w:r>
      <w:r w:rsidDel="00000000" w:rsidR="00000000" w:rsidRPr="00000000">
        <w:rPr>
          <w:rFonts w:ascii="Google Sans" w:cs="Google Sans" w:eastAsia="Google Sans" w:hAnsi="Google Sans"/>
          <w:color w:val="1f1f1f"/>
        </w:rPr>
        <w:drawing>
          <wp:inline distB="19050" distT="19050" distL="19050" distR="19050">
            <wp:extent cx="150614" cy="216508"/>
            <wp:effectExtent b="0" l="0" r="0" t="0"/>
            <wp:docPr id="57" name="image34.png"/>
            <a:graphic>
              <a:graphicData uri="http://schemas.openxmlformats.org/drawingml/2006/picture">
                <pic:pic>
                  <pic:nvPicPr>
                    <pic:cNvPr id="0" name="image34.png"/>
                    <pic:cNvPicPr preferRelativeResize="0"/>
                  </pic:nvPicPr>
                  <pic:blipFill>
                    <a:blip r:embed="rId12"/>
                    <a:srcRect b="0" l="0" r="0" t="0"/>
                    <a:stretch>
                      <a:fillRect/>
                    </a:stretch>
                  </pic:blipFill>
                  <pic:spPr>
                    <a:xfrm>
                      <a:off x="0" y="0"/>
                      <a:ext cx="150614" cy="2165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norm). In high-dimensional spaces, the Euclidean distance is exceptionally susceptible to the curse of dimensionality and topological distortions. If the latent space dimensions exhibit non-uniform distributions, bimodal clustering, or disproportionately varying scales, the Euclidean distance metric becomes heavily distorted. The k-NN algorithm will map nearest neighbors based on these topological artifacts and high-variance noise features rather than genuine semantic proximity regarding the physical parameters </w:t>
      </w:r>
      <w:r w:rsidDel="00000000" w:rsidR="00000000" w:rsidRPr="00000000">
        <w:rPr>
          <w:rFonts w:ascii="Google Sans" w:cs="Google Sans" w:eastAsia="Google Sans" w:hAnsi="Google Sans"/>
          <w:color w:val="1f1f1f"/>
        </w:rPr>
        <w:drawing>
          <wp:inline distB="19050" distT="19050" distL="19050" distR="19050">
            <wp:extent cx="118616" cy="237232"/>
            <wp:effectExtent b="0" l="0" r="0" t="0"/>
            <wp:docPr id="59"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118616" cy="2372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94357" cy="226457"/>
            <wp:effectExtent b="0" l="0" r="0" t="0"/>
            <wp:docPr id="6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94357" cy="2264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linear probe (</w:t>
      </w:r>
      <w:r w:rsidDel="00000000" w:rsidR="00000000" w:rsidRPr="00000000">
        <w:rPr>
          <w:rFonts w:ascii="Google Sans" w:cs="Google Sans" w:eastAsia="Google Sans" w:hAnsi="Google Sans"/>
          <w:color w:val="1f1f1f"/>
        </w:rPr>
        <w:drawing>
          <wp:inline distB="19050" distT="19050" distL="19050" distR="19050">
            <wp:extent cx="952652" cy="228637"/>
            <wp:effectExtent b="0" l="0" r="0" t="0"/>
            <wp:docPr id="63"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952652" cy="2286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suffers similarly; a non-isotropic, irregularly scaled latent space produces a highly non-convex loss landscape for the linear regressor, preventing it from finding an optimal hyperplane to decode the parameters.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Rigor of Sketched Isotropic Gaussian Regularization (SIGReg)</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the sub-0.1 MSE required for top-tier performance on the active matter dataset, the representation space must be mathematically engineered to perfectly accommodate Euclidean distance metrics.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necessitates transitioning from the heuristic decorrelation of VICReg to the rigorous distributional matching of Sketched Isotropic Gaussian Regularization (SIGReg), the core innovation of the LeJEPA framework.</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Analytical research in representation learning has conclusively demonstrated that to minimize downstream prediction risk—especially when restricted to simple linear decoders or nearest-neighbor readouts—the optimal geometric distribution for the latent embeddings is a perfectly isotropic Gaussian, denoted as </w:t>
      </w:r>
      <w:r w:rsidDel="00000000" w:rsidR="00000000" w:rsidRPr="00000000">
        <w:rPr>
          <w:rFonts w:ascii="Google Sans" w:cs="Google Sans" w:eastAsia="Google Sans" w:hAnsi="Google Sans"/>
          <w:color w:val="1f1f1f"/>
        </w:rPr>
        <w:drawing>
          <wp:inline distB="19050" distT="19050" distL="19050" distR="19050">
            <wp:extent cx="591889" cy="229118"/>
            <wp:effectExtent b="0" l="0" r="0" t="0"/>
            <wp:docPr id="65" name="image42.png"/>
            <a:graphic>
              <a:graphicData uri="http://schemas.openxmlformats.org/drawingml/2006/picture">
                <pic:pic>
                  <pic:nvPicPr>
                    <pic:cNvPr id="0" name="image42.png"/>
                    <pic:cNvPicPr preferRelativeResize="0"/>
                  </pic:nvPicPr>
                  <pic:blipFill>
                    <a:blip r:embed="rId14"/>
                    <a:srcRect b="0" l="0" r="0" t="0"/>
                    <a:stretch>
                      <a:fillRect/>
                    </a:stretch>
                  </pic:blipFill>
                  <pic:spPr>
                    <a:xfrm>
                      <a:off x="0" y="0"/>
                      <a:ext cx="591889" cy="2291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An isotropic Gaussian manifold guarantees that all dimensions possess zero mean and unit variance, ensuring that no single feature vector can artificially dominate the Euclidean distance calculation.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Furthermore, it guarantees true statistical independence across dimensions, producing a smooth, uniform representation cloud.</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In such a space, small, continuous physical perturbations in the input fluid fields—such as a marginal increase in the steric alignment </w:t>
      </w:r>
      <w:r w:rsidDel="00000000" w:rsidR="00000000" w:rsidRPr="00000000">
        <w:rPr>
          <w:rFonts w:ascii="Google Sans" w:cs="Google Sans" w:eastAsia="Google Sans" w:hAnsi="Google Sans"/>
          <w:color w:val="1f1f1f"/>
        </w:rPr>
        <w:drawing>
          <wp:inline distB="19050" distT="19050" distL="19050" distR="19050">
            <wp:extent cx="94357" cy="226457"/>
            <wp:effectExtent b="0" l="0" r="0" t="0"/>
            <wp:docPr id="6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94357" cy="2264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—result in equally smooth, proportional, and predictable translations in the latent space.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Therefore, the nearest neighbors of an active matter trajectory governed by </w:t>
      </w:r>
      <w:r w:rsidDel="00000000" w:rsidR="00000000" w:rsidRPr="00000000">
        <w:rPr>
          <w:rFonts w:ascii="Google Sans" w:cs="Google Sans" w:eastAsia="Google Sans" w:hAnsi="Google Sans"/>
          <w:color w:val="1f1f1f"/>
        </w:rPr>
        <w:drawing>
          <wp:inline distB="19050" distT="19050" distL="19050" distR="19050">
            <wp:extent cx="575965" cy="230386"/>
            <wp:effectExtent b="0" l="0" r="0" t="0"/>
            <wp:docPr id="67"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575965" cy="2303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will strictly and reliably be other trajectories with </w:t>
      </w:r>
      <w:r w:rsidDel="00000000" w:rsidR="00000000" w:rsidRPr="00000000">
        <w:rPr>
          <w:rFonts w:ascii="Google Sans" w:cs="Google Sans" w:eastAsia="Google Sans" w:hAnsi="Google Sans"/>
          <w:color w:val="1f1f1f"/>
        </w:rPr>
        <w:drawing>
          <wp:inline distB="19050" distT="19050" distL="19050" distR="19050">
            <wp:extent cx="575965" cy="230386"/>
            <wp:effectExtent b="0" l="0" r="0" t="0"/>
            <wp:docPr id="68" name="image39.png"/>
            <a:graphic>
              <a:graphicData uri="http://schemas.openxmlformats.org/drawingml/2006/picture">
                <pic:pic>
                  <pic:nvPicPr>
                    <pic:cNvPr id="0" name="image39.png"/>
                    <pic:cNvPicPr preferRelativeResize="0"/>
                  </pic:nvPicPr>
                  <pic:blipFill>
                    <a:blip r:embed="rId16"/>
                    <a:srcRect b="0" l="0" r="0" t="0"/>
                    <a:stretch>
                      <a:fillRect/>
                    </a:stretch>
                  </pic:blipFill>
                  <pic:spPr>
                    <a:xfrm>
                      <a:off x="0" y="0"/>
                      <a:ext cx="575965" cy="2303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drastically reducing the downstream MSE.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Mechanics of the Epps-Pulley Test and Random Sketching</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Directly comparing two high-dimensional probability distributions (the empirical batch distribution versus the target isotropic Gaussian) is computationally intractable for deep neural network optimization due to the exponential scaling of computational volume. SIGReg elegantly solves this via "sketching"—utilizing random one-dimensional projections based on the foundational principles of the Epps-Pulley statistical test for normality.</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Epps-Pulley (EP) test measures the goodness-of-fit to a normal distribution by comparing the empirical characteristic function of the observed data to the theoretical characteristic function of a standard normal distribution.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Let </w:t>
      </w:r>
      <w:r w:rsidDel="00000000" w:rsidR="00000000" w:rsidRPr="00000000">
        <w:rPr>
          <w:rFonts w:ascii="Google Sans" w:cs="Google Sans" w:eastAsia="Google Sans" w:hAnsi="Google Sans"/>
          <w:color w:val="1f1f1f"/>
        </w:rPr>
        <w:drawing>
          <wp:inline distB="19050" distT="19050" distL="19050" distR="19050">
            <wp:extent cx="572691" cy="229076"/>
            <wp:effectExtent b="0" l="0" r="0" t="0"/>
            <wp:docPr id="24"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2691" cy="2290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the high-dimensional latent embeddings produced by the spatiotemporal encoder. During each training iteration, SIGReg randomly draws a set of </w:t>
      </w:r>
      <w:r w:rsidDel="00000000" w:rsidR="00000000" w:rsidRPr="00000000">
        <w:rPr>
          <w:rFonts w:ascii="Google Sans" w:cs="Google Sans" w:eastAsia="Google Sans" w:hAnsi="Google Sans"/>
          <w:color w:val="1f1f1f"/>
        </w:rPr>
        <w:drawing>
          <wp:inline distB="19050" distT="19050" distL="19050" distR="19050">
            <wp:extent cx="198983" cy="227409"/>
            <wp:effectExtent b="0" l="0" r="0" t="0"/>
            <wp:docPr id="26"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198983" cy="2274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unit-norm projection directions (or sketches), defined as </w:t>
      </w:r>
      <w:r w:rsidDel="00000000" w:rsidR="00000000" w:rsidRPr="00000000">
        <w:rPr>
          <w:rFonts w:ascii="Google Sans" w:cs="Google Sans" w:eastAsia="Google Sans" w:hAnsi="Google Sans"/>
          <w:color w:val="1f1f1f"/>
        </w:rPr>
        <w:drawing>
          <wp:inline distB="19050" distT="19050" distL="19050" distR="19050">
            <wp:extent cx="2150269" cy="228347"/>
            <wp:effectExtent b="0" l="0" r="0" t="0"/>
            <wp:docPr id="28"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2150269" cy="2283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each specific random direction </w:t>
      </w:r>
      <w:r w:rsidDel="00000000" w:rsidR="00000000" w:rsidRPr="00000000">
        <w:rPr>
          <w:rFonts w:ascii="Google Sans" w:cs="Google Sans" w:eastAsia="Google Sans" w:hAnsi="Google Sans"/>
          <w:color w:val="1f1f1f"/>
        </w:rPr>
        <w:drawing>
          <wp:inline distB="19050" distT="19050" distL="19050" distR="19050">
            <wp:extent cx="275778" cy="228230"/>
            <wp:effectExtent b="0" l="0" r="0" t="0"/>
            <wp:docPr id="30"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275778" cy="2282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high-dimensional batch embeddings are linearly projected into a one-dimensional scalar representation: </w:t>
      </w:r>
      <w:r w:rsidDel="00000000" w:rsidR="00000000" w:rsidRPr="00000000">
        <w:rPr>
          <w:rFonts w:ascii="Google Sans" w:cs="Google Sans" w:eastAsia="Google Sans" w:hAnsi="Google Sans"/>
          <w:color w:val="1f1f1f"/>
        </w:rPr>
        <w:drawing>
          <wp:inline distB="19050" distT="19050" distL="19050" distR="19050">
            <wp:extent cx="978398" cy="227976"/>
            <wp:effectExtent b="0" l="0" r="0" t="0"/>
            <wp:docPr id="32"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978398" cy="2279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Based on the mathematical properties of the Gaussian distribution, any linear projection of a true multidimensional isotropic Gaussian must invariably result in a 1D standard Gaussian.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Therefore, the complex multidimensional optimization objective is elegantly reduced to ensuring that the 1D distribution of the projected scalars </w:t>
      </w:r>
      <w:r w:rsidDel="00000000" w:rsidR="00000000" w:rsidRPr="00000000">
        <w:rPr>
          <w:rFonts w:ascii="Google Sans" w:cs="Google Sans" w:eastAsia="Google Sans" w:hAnsi="Google Sans"/>
          <w:color w:val="1f1f1f"/>
        </w:rPr>
        <w:drawing>
          <wp:inline distB="19050" distT="19050" distL="19050" distR="19050">
            <wp:extent cx="493216" cy="227638"/>
            <wp:effectExtent b="0" l="0" r="0" t="0"/>
            <wp:docPr id="33"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493216" cy="2276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precisely matches </w:t>
      </w:r>
      <w:r w:rsidDel="00000000" w:rsidR="00000000" w:rsidRPr="00000000">
        <w:rPr>
          <w:rFonts w:ascii="Google Sans" w:cs="Google Sans" w:eastAsia="Google Sans" w:hAnsi="Google Sans"/>
          <w:color w:val="1f1f1f"/>
        </w:rPr>
        <w:drawing>
          <wp:inline distB="19050" distT="19050" distL="19050" distR="19050">
            <wp:extent cx="588466" cy="218302"/>
            <wp:effectExtent b="0" l="0" r="0" t="0"/>
            <wp:docPr id="34"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588466" cy="2183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across all random projection slices.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Epps-Pulley test statistic for a given 1D projection is rigorously formulated mathematically over the characteristic function </w:t>
      </w:r>
      <w:r w:rsidDel="00000000" w:rsidR="00000000" w:rsidRPr="00000000">
        <w:rPr>
          <w:rFonts w:ascii="Google Sans" w:cs="Google Sans" w:eastAsia="Google Sans" w:hAnsi="Google Sans"/>
          <w:color w:val="1f1f1f"/>
        </w:rPr>
        <w:drawing>
          <wp:inline distB="19050" distT="19050" distL="19050" distR="19050">
            <wp:extent cx="320130" cy="225974"/>
            <wp:effectExtent b="0" l="0" r="0" t="0"/>
            <wp:docPr id="35"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320130" cy="2259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48956"/>
            <wp:effectExtent b="0" l="0" r="0" t="0"/>
            <wp:docPr id="36"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905500" cy="448956"/>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09984" cy="229134"/>
            <wp:effectExtent b="0" l="0" r="0" t="0"/>
            <wp:docPr id="37" name="image37.png"/>
            <a:graphic>
              <a:graphicData uri="http://schemas.openxmlformats.org/drawingml/2006/picture">
                <pic:pic>
                  <pic:nvPicPr>
                    <pic:cNvPr id="0" name="image37.png"/>
                    <pic:cNvPicPr preferRelativeResize="0"/>
                  </pic:nvPicPr>
                  <pic:blipFill>
                    <a:blip r:embed="rId26"/>
                    <a:srcRect b="0" l="0" r="0" t="0"/>
                    <a:stretch>
                      <a:fillRect/>
                    </a:stretch>
                  </pic:blipFill>
                  <pic:spPr>
                    <a:xfrm>
                      <a:off x="0" y="0"/>
                      <a:ext cx="109984" cy="2291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empirical characteristic function calculated directly from the projected batch data, </w:t>
      </w:r>
      <w:r w:rsidDel="00000000" w:rsidR="00000000" w:rsidRPr="00000000">
        <w:rPr>
          <w:rFonts w:ascii="Google Sans" w:cs="Google Sans" w:eastAsia="Google Sans" w:hAnsi="Google Sans"/>
          <w:color w:val="1f1f1f"/>
        </w:rPr>
        <w:drawing>
          <wp:inline distB="19050" distT="19050" distL="19050" distR="19050">
            <wp:extent cx="719881" cy="227331"/>
            <wp:effectExtent b="0" l="0" r="0" t="0"/>
            <wp:docPr id="11"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719881" cy="2273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analytical, closed-form characteristic function of the target standard Gaussian, and </w:t>
      </w:r>
      <w:r w:rsidDel="00000000" w:rsidR="00000000" w:rsidRPr="00000000">
        <w:rPr>
          <w:rFonts w:ascii="Google Sans" w:cs="Google Sans" w:eastAsia="Google Sans" w:hAnsi="Google Sans"/>
          <w:color w:val="1f1f1f"/>
        </w:rPr>
        <w:drawing>
          <wp:inline distB="19050" distT="19050" distL="19050" distR="19050">
            <wp:extent cx="1003992" cy="248608"/>
            <wp:effectExtent b="0" l="0" r="0" t="0"/>
            <wp:docPr id="12"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1003992" cy="2486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designated weighting function that focuses the test's sensitivity on the central mass of the distribution.</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SIGReg loss applied to the network is simply the average of these 1D Epps-Pulley tests computed over the </w:t>
      </w:r>
      <w:r w:rsidDel="00000000" w:rsidR="00000000" w:rsidRPr="00000000">
        <w:rPr>
          <w:rFonts w:ascii="Google Sans" w:cs="Google Sans" w:eastAsia="Google Sans" w:hAnsi="Google Sans"/>
          <w:color w:val="1f1f1f"/>
        </w:rPr>
        <w:drawing>
          <wp:inline distB="19050" distT="19050" distL="19050" distR="19050">
            <wp:extent cx="198983" cy="227409"/>
            <wp:effectExtent b="0" l="0" r="0" t="0"/>
            <wp:docPr id="1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198983" cy="2274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random slices (typically </w:t>
      </w:r>
      <w:r w:rsidDel="00000000" w:rsidR="00000000" w:rsidRPr="00000000">
        <w:rPr>
          <w:rFonts w:ascii="Google Sans" w:cs="Google Sans" w:eastAsia="Google Sans" w:hAnsi="Google Sans"/>
          <w:color w:val="1f1f1f"/>
        </w:rPr>
        <w:drawing>
          <wp:inline distB="19050" distT="19050" distL="19050" distR="19050">
            <wp:extent cx="813792" cy="229777"/>
            <wp:effectExtent b="0" l="0" r="0" t="0"/>
            <wp:docPr id="14"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813792" cy="229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29538"/>
            <wp:effectExtent b="0" l="0" r="0" t="0"/>
            <wp:docPr id="15"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5905500" cy="529538"/>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Computational Scalability, Stability, and Hyperparameter Elegance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paramount advantage of this sketched characteristic function formulation is its profound computational efficiency. The operation scales linearly with both the batch size and the embedding dimension (</w:t>
      </w:r>
      <w:r w:rsidDel="00000000" w:rsidR="00000000" w:rsidRPr="00000000">
        <w:rPr>
          <w:rFonts w:ascii="Google Sans" w:cs="Google Sans" w:eastAsia="Google Sans" w:hAnsi="Google Sans"/>
          <w:color w:val="1f1f1f"/>
        </w:rPr>
        <w:drawing>
          <wp:inline distB="19050" distT="19050" distL="19050" distR="19050">
            <wp:extent cx="858589" cy="228957"/>
            <wp:effectExtent b="0" l="0" r="0" t="0"/>
            <wp:docPr id="16"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858589" cy="2289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circumventing the quadratic scaling of covariance matrix computations and making it exceptionally well-suited for high-dimensional physical representation learning.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 practical implementation, evaluating the infinite integral of the Epps-Pulley statistic requires only a simple numerical quadrature approximation utilizing as few as 17 integration knots.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yields a highly stable, bounded, and continuously differentiable loss function that can be implemented using standard distributed data parallel (DDP) primitives in under 50 lines of PyTorch code.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LeJEPA framework utilizing SIGReg dramatically simplifies the hyperparameter landscape. It utilizes a single scaling hyperparameter, denoted as </w:t>
      </w:r>
      <w:r w:rsidDel="00000000" w:rsidR="00000000" w:rsidRPr="00000000">
        <w:rPr>
          <w:rFonts w:ascii="Google Sans" w:cs="Google Sans" w:eastAsia="Google Sans" w:hAnsi="Google Sans"/>
          <w:color w:val="1f1f1f"/>
        </w:rPr>
        <w:drawing>
          <wp:inline distB="19050" distT="19050" distL="19050" distR="19050">
            <wp:extent cx="107603" cy="234770"/>
            <wp:effectExtent b="0" l="0" r="0" t="0"/>
            <wp:docPr id="17"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107603" cy="2347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dictates the trade-off between the latent prediction loss and the distributional regularization term: </w:t>
      </w:r>
      <w:r w:rsidDel="00000000" w:rsidR="00000000" w:rsidRPr="00000000">
        <w:rPr>
          <w:rFonts w:ascii="Google Sans" w:cs="Google Sans" w:eastAsia="Google Sans" w:hAnsi="Google Sans"/>
          <w:color w:val="1f1f1f"/>
        </w:rPr>
        <w:drawing>
          <wp:inline distB="19050" distT="19050" distL="19050" distR="19050">
            <wp:extent cx="2064839" cy="228369"/>
            <wp:effectExtent b="0" l="0" r="0" t="0"/>
            <wp:docPr id="18"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2064839" cy="2283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Extensive hyperparameter sweeps and ablations on visual and physical datasets demonstrate that SIGReg is remarkably robust and stable across varying logarithmic values of </w:t>
      </w:r>
      <w:r w:rsidDel="00000000" w:rsidR="00000000" w:rsidRPr="00000000">
        <w:rPr>
          <w:rFonts w:ascii="Google Sans" w:cs="Google Sans" w:eastAsia="Google Sans" w:hAnsi="Google Sans"/>
          <w:color w:val="1f1f1f"/>
        </w:rPr>
        <w:drawing>
          <wp:inline distB="19050" distT="19050" distL="19050" distR="19050">
            <wp:extent cx="107603" cy="234770"/>
            <wp:effectExtent b="0" l="0" r="0" t="0"/>
            <wp:docPr id="19"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107603" cy="2347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(e.g., 0.1, 1.0, 10.0), entirely eliminating the need for the delicate, easily-destabilized coefficient balancing strictly required by VICReg.</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This inherent stability allows the encoder to be trained purely via standard stochastic gradient descent or AdamW without the need for complex exponential moving average (EMA) momentum targets or stop-gradient operations, substantially accelerating training convergence and reducing total VRAM consumption.</w:t>
      </w:r>
      <w:r w:rsidDel="00000000" w:rsidR="00000000" w:rsidRPr="00000000">
        <w:rPr>
          <w:rFonts w:ascii="Google Sans" w:cs="Google Sans" w:eastAsia="Google Sans" w:hAnsi="Google Sans"/>
          <w:color w:val="444746"/>
          <w:sz w:val="24"/>
          <w:szCs w:val="24"/>
          <w:vertAlign w:val="superscript"/>
          <w:rtl w:val="0"/>
        </w:rPr>
        <w:t xml:space="preserve">4</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Metric / Characteristic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VICReg Framework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SIGReg (LeJEPA Formulation)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Optimization Target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Independent Features (Diagonal Covariance)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Perfect Isotropic Gaussian </w:t>
            </w:r>
            <w:r w:rsidDel="00000000" w:rsidR="00000000" w:rsidRPr="00000000">
              <w:rPr>
                <w:rFonts w:ascii="Google Sans" w:cs="Google Sans" w:eastAsia="Google Sans" w:hAnsi="Google Sans"/>
                <w:color w:val="1f1f1f"/>
              </w:rPr>
              <w:drawing>
                <wp:inline distB="19050" distT="19050" distL="19050" distR="19050">
                  <wp:extent cx="591889" cy="229118"/>
                  <wp:effectExtent b="0" l="0" r="0" t="0"/>
                  <wp:docPr id="20" name="image42.png"/>
                  <a:graphic>
                    <a:graphicData uri="http://schemas.openxmlformats.org/drawingml/2006/picture">
                      <pic:pic>
                        <pic:nvPicPr>
                          <pic:cNvPr id="0" name="image42.png"/>
                          <pic:cNvPicPr preferRelativeResize="0"/>
                        </pic:nvPicPr>
                        <pic:blipFill>
                          <a:blip r:embed="rId14"/>
                          <a:srcRect b="0" l="0" r="0" t="0"/>
                          <a:stretch>
                            <a:fillRect/>
                          </a:stretch>
                        </pic:blipFill>
                        <pic:spPr>
                          <a:xfrm>
                            <a:off x="0" y="0"/>
                            <a:ext cx="591889" cy="229118"/>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Collapse Prevention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Heuristic Variance Hinge Loss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Provable Epps-Pulley Distribution Matching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Hyperparameter Complexity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(Requires tuning Variance and Covariance weights)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(Single trade-off parameter, </w:t>
            </w:r>
            <w:r w:rsidDel="00000000" w:rsidR="00000000" w:rsidRPr="00000000">
              <w:rPr>
                <w:rFonts w:ascii="Google Sans" w:cs="Google Sans" w:eastAsia="Google Sans" w:hAnsi="Google Sans"/>
                <w:color w:val="1f1f1f"/>
              </w:rPr>
              <w:drawing>
                <wp:inline distB="19050" distT="19050" distL="19050" distR="19050">
                  <wp:extent cx="107603" cy="234770"/>
                  <wp:effectExtent b="0" l="0" r="0" t="0"/>
                  <wp:docPr id="1"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107603" cy="2347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Architectural Requirements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Demands large, deep projection heads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Stable across diverse architectures without heavy heads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Empirical Stability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sensitive to minor hyperparameter shifts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Robust end-to-end convergence without heuristics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k-NN Suitability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Poor (Distorted Euclidean Topology)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Excellent (Uniform, Orthogonal Space)</w:t>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Table 2: Exhaustive comparative analysis of VICReg and SIGReg optimization characteristics and their respective suitability for downstream Euclidean evaluation protocols.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Designing the Optimal Spatiotemporal Encoder: The Case for 3D ConvNeXt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SIGReg objective guarantees the mathematically optimal topology for the final latent space, the encoder itself must possess the specific inductive biases necessary to successfully map the complex, multiphase 11-channel active matter physics into this abstract space.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project constraints impose a strict ceiling, limiting the total parameter count of the model to fewer than 100 million parameters.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Given the high-dimensional input tensor (</w:t>
      </w:r>
      <w:r w:rsidDel="00000000" w:rsidR="00000000" w:rsidRPr="00000000">
        <w:rPr>
          <w:rFonts w:ascii="Google Sans" w:cs="Google Sans" w:eastAsia="Google Sans" w:hAnsi="Google Sans"/>
          <w:color w:val="1f1f1f"/>
        </w:rPr>
        <w:drawing>
          <wp:inline distB="19050" distT="19050" distL="19050" distR="19050">
            <wp:extent cx="4323902" cy="219052"/>
            <wp:effectExtent b="0" l="0" r="0" t="0"/>
            <wp:docPr id="2"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4323902" cy="2190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deploying a standard spatiotemporal Vision Transformer (ViT) or a VideoMAE backbone is computationally hazardous.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Transformers process sequences through self-attention mechanisms that scale quadratically </w:t>
      </w:r>
      <w:r w:rsidDel="00000000" w:rsidR="00000000" w:rsidRPr="00000000">
        <w:rPr>
          <w:rFonts w:ascii="Google Sans" w:cs="Google Sans" w:eastAsia="Google Sans" w:hAnsi="Google Sans"/>
          <w:color w:val="1f1f1f"/>
        </w:rPr>
        <w:drawing>
          <wp:inline distB="19050" distT="19050" distL="19050" distR="19050">
            <wp:extent cx="537269" cy="230258"/>
            <wp:effectExtent b="0" l="0" r="0" t="0"/>
            <wp:docPr id="3"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537269" cy="2302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the sequence length (the number of spatial tokens multiplied by the number of temporal frames).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For a </w:t>
      </w:r>
      <w:r w:rsidDel="00000000" w:rsidR="00000000" w:rsidRPr="00000000">
        <w:rPr>
          <w:rFonts w:ascii="Google Sans" w:cs="Google Sans" w:eastAsia="Google Sans" w:hAnsi="Google Sans"/>
          <w:color w:val="1f1f1f"/>
        </w:rPr>
        <w:drawing>
          <wp:inline distB="19050" distT="19050" distL="19050" distR="19050">
            <wp:extent cx="778669" cy="218407"/>
            <wp:effectExtent b="0" l="0" r="0" t="0"/>
            <wp:docPr id="4"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778669" cy="2184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grid over 16 frames, the tokenization density required to capture fine-grained turbulent vorticity would result in catastrophic memory fragmentation and instantaneous VRAM exhaustion on standard HPC spot instances, even if the parameter count is artificially kept low.</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Recent exhaustive benchmarking conducted specifically on The Well dataset suite has conclusively demonstrated the vast supremacy of modernized Convolutional U-Net variants—specifically architectures utilizing ConvNeXt blocks, designated as CNextU-net—for spatiotemporal physical field regression.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Benchmarking Evidence on Active Matter Dynamics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Empirical results extracted directly from the active_matter test sets highlight a stark, undeniable contrast between standard spectral models (such as the Fourier Neural Operator, FNO), traditional vision transformers, and modernized ConvNeXt-based architectures.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 Architecture Backbone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VRMSE (Active Matter Test 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Underlying Mechanism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FNO (Fourier Neural Operator)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0.3691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Spectral frequency matching via Fast Fourier Transforms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TFNO (Tucker-Factorized FNO)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0.3598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Tensor-decomposed multidimensional spectral matching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Standard Convolutional U-Net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0.2489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Multi-scale local spatial convolution and upsampling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CNextU-net (ConvNeXt blocks)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0.1034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Large-kernel depthwise spatiotemporal feature extraction </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Table 3: Comprehensive Test VRMSE metrics on the active_matter benchmark from The Well. The ConvNeXt-based architecture significantly outperforms all classical and spectral baselines.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Blueprinting the 3D ConvNeXt Spatiotemporal Encoder</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successfully adapt this finding into a representation learning framework that complies with the &lt;100M parameter limit while fulfilling the project's demanding spatiotemporal requirements, the ideal encoder architecture is a customized </w:t>
      </w:r>
      <w:r w:rsidDel="00000000" w:rsidR="00000000" w:rsidRPr="00000000">
        <w:rPr>
          <w:rFonts w:ascii="Google Sans" w:cs="Google Sans" w:eastAsia="Google Sans" w:hAnsi="Google Sans"/>
          <w:b w:val="1"/>
          <w:bCs w:val="1"/>
          <w:color w:val="1f1f1f"/>
          <w:rtl w:val="0"/>
        </w:rPr>
        <w:t xml:space="preserve">Spatiotemporal 3D ConvNeXt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Unlike isotropic Transformers, a 3D ConvNeXt processes volumetric sequences with purely linear computational complexity regarding the spatial grid, thereby conserving massive amounts of VRAM and accelerating throughput.</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fundamental ConvNeXt block structure represents a modernization of the standard ResNet, comprising depthwise large-kernel convolutions (e.g., </w:t>
      </w:r>
      <w:r w:rsidDel="00000000" w:rsidR="00000000" w:rsidRPr="00000000">
        <w:rPr>
          <w:rFonts w:ascii="Google Sans" w:cs="Google Sans" w:eastAsia="Google Sans" w:hAnsi="Google Sans"/>
          <w:color w:val="1f1f1f"/>
        </w:rPr>
        <w:drawing>
          <wp:inline distB="19050" distT="19050" distL="19050" distR="19050">
            <wp:extent cx="727472" cy="220156"/>
            <wp:effectExtent b="0" l="0" r="0" t="0"/>
            <wp:docPr id="5" name="image38.png"/>
            <a:graphic>
              <a:graphicData uri="http://schemas.openxmlformats.org/drawingml/2006/picture">
                <pic:pic>
                  <pic:nvPicPr>
                    <pic:cNvPr id="0" name="image38.png"/>
                    <pic:cNvPicPr preferRelativeResize="0"/>
                  </pic:nvPicPr>
                  <pic:blipFill>
                    <a:blip r:embed="rId37"/>
                    <a:srcRect b="0" l="0" r="0" t="0"/>
                    <a:stretch>
                      <a:fillRect/>
                    </a:stretch>
                  </pic:blipFill>
                  <pic:spPr>
                    <a:xfrm>
                      <a:off x="0" y="0"/>
                      <a:ext cx="727472" cy="220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followed immediately by Layer Normalization (replacing Batch Normalization), and sequential point-wise </w:t>
      </w:r>
      <w:r w:rsidDel="00000000" w:rsidR="00000000" w:rsidRPr="00000000">
        <w:rPr>
          <w:rFonts w:ascii="Google Sans" w:cs="Google Sans" w:eastAsia="Google Sans" w:hAnsi="Google Sans"/>
          <w:color w:val="1f1f1f"/>
        </w:rPr>
        <w:drawing>
          <wp:inline distB="19050" distT="19050" distL="19050" distR="19050">
            <wp:extent cx="727472" cy="220156"/>
            <wp:effectExtent b="0" l="0" r="0" t="0"/>
            <wp:docPr id="6"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727472" cy="220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convolutions utilizing GeLU activations for channel expansion and subsequent projection back to the original dimension.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This specific block geometry is uniquely and optimally suited for modeling continuous physical fields.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Cross-Channel Physics Mixing (The Stem):</w:t>
      </w:r>
      <w:r w:rsidDel="00000000" w:rsidR="00000000" w:rsidRPr="00000000">
        <w:rPr>
          <w:rFonts w:ascii="Google Sans" w:cs="Google Sans" w:eastAsia="Google Sans" w:hAnsi="Google Sans"/>
          <w:color w:val="1f1f1f"/>
          <w:rtl w:val="0"/>
        </w:rPr>
        <w:t xml:space="preserve"> The initial stem layer of the network ingests the 11-channel input and projects it into a higher-dimensional feature space (e.g., 96 or 128 channels). Because the physical fields—the velocity vectors, the orientation tensors, and the strain-rate tensors—are mathematically coupled via the underlying Navier-Stokes and active stress equations governing the simulation, the initial point-wise channel mixing inherent in the ConvNeXt architecture allows the network to immediately learn and encode these cross-channel differential relationships from the very first layer.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Expansive Receptive Fields for Hydrodynamics:</w:t>
      </w:r>
      <w:r w:rsidDel="00000000" w:rsidR="00000000" w:rsidRPr="00000000">
        <w:rPr>
          <w:rFonts w:ascii="Google Sans" w:cs="Google Sans" w:eastAsia="Google Sans" w:hAnsi="Google Sans"/>
          <w:color w:val="1f1f1f"/>
          <w:rtl w:val="0"/>
        </w:rPr>
        <w:t xml:space="preserve"> Active matter turbulence is physically characterized by long-range hydrodynamic interactions that span across the fluid medium.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Traditional small </w:t>
      </w:r>
      <w:r w:rsidDel="00000000" w:rsidR="00000000" w:rsidRPr="00000000">
        <w:rPr>
          <w:rFonts w:ascii="Google Sans" w:cs="Google Sans" w:eastAsia="Google Sans" w:hAnsi="Google Sans"/>
          <w:color w:val="1f1f1f"/>
        </w:rPr>
        <w:drawing>
          <wp:inline distB="19050" distT="19050" distL="19050" distR="19050">
            <wp:extent cx="409872" cy="219234"/>
            <wp:effectExtent b="0" l="0" r="0" t="0"/>
            <wp:docPr id="7"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409872" cy="219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convolutional kernels fail entirely to capture the long-range vorticity and macro-scale nematic banding that dictate the value of the steric alignment parameter </w:t>
      </w:r>
      <w:r w:rsidDel="00000000" w:rsidR="00000000" w:rsidRPr="00000000">
        <w:rPr>
          <w:rFonts w:ascii="Google Sans" w:cs="Google Sans" w:eastAsia="Google Sans" w:hAnsi="Google Sans"/>
          <w:color w:val="1f1f1f"/>
        </w:rPr>
        <w:drawing>
          <wp:inline distB="19050" distT="19050" distL="19050" distR="19050">
            <wp:extent cx="94357" cy="226457"/>
            <wp:effectExtent b="0" l="0" r="0" t="0"/>
            <wp:docPr id="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94357" cy="2264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w:t>
      </w:r>
      <w:r w:rsidDel="00000000" w:rsidR="00000000" w:rsidRPr="00000000">
        <w:rPr>
          <w:rFonts w:ascii="Google Sans" w:cs="Google Sans" w:eastAsia="Google Sans" w:hAnsi="Google Sans"/>
          <w:color w:val="1f1f1f"/>
        </w:rPr>
        <w:drawing>
          <wp:inline distB="19050" distT="19050" distL="19050" distR="19050">
            <wp:extent cx="727472" cy="220156"/>
            <wp:effectExtent b="0" l="0" r="0" t="0"/>
            <wp:docPr id="9" name="image38.png"/>
            <a:graphic>
              <a:graphicData uri="http://schemas.openxmlformats.org/drawingml/2006/picture">
                <pic:pic>
                  <pic:nvPicPr>
                    <pic:cNvPr id="0" name="image38.png"/>
                    <pic:cNvPicPr preferRelativeResize="0"/>
                  </pic:nvPicPr>
                  <pic:blipFill>
                    <a:blip r:embed="rId37"/>
                    <a:srcRect b="0" l="0" r="0" t="0"/>
                    <a:stretch>
                      <a:fillRect/>
                    </a:stretch>
                  </pic:blipFill>
                  <pic:spPr>
                    <a:xfrm>
                      <a:off x="0" y="0"/>
                      <a:ext cx="727472" cy="220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3D depthwise convolutions embedded within the ConvNeXt blocks provide an exceptionally expansive receptive field, capable of capturing these macroscopic phase transitions and topological defects without requiring an excessively deep, parameter-heavy network.</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Temporal Derivative Encoding:</w:t>
      </w:r>
      <w:r w:rsidDel="00000000" w:rsidR="00000000" w:rsidRPr="00000000">
        <w:rPr>
          <w:rFonts w:ascii="Google Sans" w:cs="Google Sans" w:eastAsia="Google Sans" w:hAnsi="Google Sans"/>
          <w:color w:val="1f1f1f"/>
          <w:rtl w:val="0"/>
        </w:rPr>
        <w:t xml:space="preserve"> By explicitly treating the 16 sequential time steps as a third spatial depth dimension (yielding true 3D convolutions), the encoder natively captures the temporal derivative of the physical fields. For the objective of predicting the active dipole strength </w:t>
      </w:r>
      <w:r w:rsidDel="00000000" w:rsidR="00000000" w:rsidRPr="00000000">
        <w:rPr>
          <w:rFonts w:ascii="Google Sans" w:cs="Google Sans" w:eastAsia="Google Sans" w:hAnsi="Google Sans"/>
          <w:color w:val="1f1f1f"/>
        </w:rPr>
        <w:drawing>
          <wp:inline distB="19050" distT="19050" distL="19050" distR="19050">
            <wp:extent cx="118616" cy="237232"/>
            <wp:effectExtent b="0" l="0" r="0" t="0"/>
            <wp:docPr id="1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118616" cy="2372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observing the </w:t>
      </w:r>
      <w:r w:rsidDel="00000000" w:rsidR="00000000" w:rsidRPr="00000000">
        <w:rPr>
          <w:rFonts w:ascii="Google Sans" w:cs="Google Sans" w:eastAsia="Google Sans" w:hAnsi="Google Sans"/>
          <w:i w:val="1"/>
          <w:iCs w:val="1"/>
          <w:color w:val="1f1f1f"/>
          <w:rtl w:val="0"/>
        </w:rPr>
        <w:t xml:space="preserve">rate of change</w:t>
      </w:r>
      <w:r w:rsidDel="00000000" w:rsidR="00000000" w:rsidRPr="00000000">
        <w:rPr>
          <w:rFonts w:ascii="Google Sans" w:cs="Google Sans" w:eastAsia="Google Sans" w:hAnsi="Google Sans"/>
          <w:color w:val="1f1f1f"/>
          <w:rtl w:val="0"/>
        </w:rPr>
        <w:t xml:space="preserve"> in the strain-rate tensor and the velocity fields over the 16 frames is heavily indicative of the underlying microscopic energy injection into the system.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Strict Parameter Efficiency:</w:t>
      </w:r>
      <w:r w:rsidDel="00000000" w:rsidR="00000000" w:rsidRPr="00000000">
        <w:rPr>
          <w:rFonts w:ascii="Google Sans" w:cs="Google Sans" w:eastAsia="Google Sans" w:hAnsi="Google Sans"/>
          <w:color w:val="1f1f1f"/>
          <w:rtl w:val="0"/>
        </w:rPr>
        <w:t xml:space="preserve"> A standard vision-based ConvNeXt-Base model contains approximately 88 million parameters. By carefully modulating the channel dimensions and the block depth stages across the four traditional downsampling resolutions (e.g., utilizing depths of and channel dimensions of ), a 3D spatiotemporal variant easily fits well within the strict 100-million parameter limit imposed by the challenge guidelines, while simultaneously providing immense representational capacity.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Logistics and HPC Utilization Strategy</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operationalize this sophisticated mathematical and architectural approach within the strict confines of the provided High-Performance Computing (HPC) environment—which utilizes Google Cloud preemptible spot instances, imposes a strict 300 GPU hour quota, and mandates checkpoint/restart resiliency—the training implementation must be meticulously and fault-tolerantly structured.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Formulating the Self-Supervised Training Loop</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optimization objective utilizes the LeJEPA (Latent Euclidean Joint-Embedding Predictive Architecture) paradigm, completely abandoning pixel-level decoding.</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 system processes two distinct temporal augmentations, or sub-trajectories, extracted from the primary 16-frame active matter sequence.</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Context View:</w:t>
      </w:r>
      <w:r w:rsidDel="00000000" w:rsidR="00000000" w:rsidRPr="00000000">
        <w:rPr>
          <w:rFonts w:ascii="Google Sans" w:cs="Google Sans" w:eastAsia="Google Sans" w:hAnsi="Google Sans"/>
          <w:color w:val="1f1f1f"/>
          <w:rtl w:val="0"/>
        </w:rPr>
        <w:t xml:space="preserve"> A specific temporal subset of frames (e.g., frames 1 through 8, or a temporally strided selection).</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Target View:</w:t>
      </w:r>
      <w:r w:rsidDel="00000000" w:rsidR="00000000" w:rsidRPr="00000000">
        <w:rPr>
          <w:rFonts w:ascii="Google Sans" w:cs="Google Sans" w:eastAsia="Google Sans" w:hAnsi="Google Sans"/>
          <w:color w:val="1f1f1f"/>
          <w:rtl w:val="0"/>
        </w:rPr>
        <w:t xml:space="preserve"> A subsequent or complementary subset of frames (e.g., frames 9 through 16).</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Both the context view and the target view are passed independently through the shared 3D ConvNeXt encoder. The encoder's output for the target view constitutes the ground-truth target latent vector. Concurrently, the encoder's output for the context view is passed through a highly lightweight, asymmetrical predictor network (typically a small multi-layer perceptron with a single hidden layer, which is entirely discarded during the downstream evaluation phase) to predict the target latent vector.</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total loss function applied during backpropagation is the weighted summation of the latent prediction error and the SIGReg distributional objective: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44" name="image26.png"/>
            <a:graphic>
              <a:graphicData uri="http://schemas.openxmlformats.org/drawingml/2006/picture">
                <pic:pic>
                  <pic:nvPicPr>
                    <pic:cNvPr id="0" name="image26.png"/>
                    <pic:cNvPicPr preferRelativeResize="0"/>
                  </pic:nvPicPr>
                  <pic:blipFill>
                    <a:blip r:embed="rId40"/>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330697" cy="217315"/>
            <wp:effectExtent b="0" l="0" r="0" t="0"/>
            <wp:docPr id="47" name="image36.png"/>
            <a:graphic>
              <a:graphicData uri="http://schemas.openxmlformats.org/drawingml/2006/picture">
                <pic:pic>
                  <pic:nvPicPr>
                    <pic:cNvPr id="0" name="image36.png"/>
                    <pic:cNvPicPr preferRelativeResize="0"/>
                  </pic:nvPicPr>
                  <pic:blipFill>
                    <a:blip r:embed="rId41"/>
                    <a:srcRect b="0" l="0" r="0" t="0"/>
                    <a:stretch>
                      <a:fillRect/>
                    </a:stretch>
                  </pic:blipFill>
                  <pic:spPr>
                    <a:xfrm>
                      <a:off x="0" y="0"/>
                      <a:ext cx="330697" cy="2173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w:t>
      </w:r>
      <w:r w:rsidDel="00000000" w:rsidR="00000000" w:rsidRPr="00000000">
        <w:rPr>
          <w:rFonts w:ascii="Google Sans" w:cs="Google Sans" w:eastAsia="Google Sans" w:hAnsi="Google Sans"/>
          <w:color w:val="1f1f1f"/>
        </w:rPr>
        <w:drawing>
          <wp:inline distB="19050" distT="19050" distL="19050" distR="19050">
            <wp:extent cx="150614" cy="216508"/>
            <wp:effectExtent b="0" l="0" r="0" t="0"/>
            <wp:docPr id="48" name="image34.png"/>
            <a:graphic>
              <a:graphicData uri="http://schemas.openxmlformats.org/drawingml/2006/picture">
                <pic:pic>
                  <pic:nvPicPr>
                    <pic:cNvPr id="0" name="image34.png"/>
                    <pic:cNvPicPr preferRelativeResize="0"/>
                  </pic:nvPicPr>
                  <pic:blipFill>
                    <a:blip r:embed="rId12"/>
                    <a:srcRect b="0" l="0" r="0" t="0"/>
                    <a:stretch>
                      <a:fillRect/>
                    </a:stretch>
                  </pic:blipFill>
                  <pic:spPr>
                    <a:xfrm>
                      <a:off x="0" y="0"/>
                      <a:ext cx="150614" cy="2165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Euclidean distance or the cosine similarity between the predicted context vector and the actual target representation, and </w:t>
      </w:r>
      <w:r w:rsidDel="00000000" w:rsidR="00000000" w:rsidRPr="00000000">
        <w:rPr>
          <w:rFonts w:ascii="Google Sans" w:cs="Google Sans" w:eastAsia="Google Sans" w:hAnsi="Google Sans"/>
          <w:color w:val="1f1f1f"/>
        </w:rPr>
        <w:drawing>
          <wp:inline distB="19050" distT="19050" distL="19050" distR="19050">
            <wp:extent cx="572839" cy="219588"/>
            <wp:effectExtent b="0" l="0" r="0" t="0"/>
            <wp:docPr id="50" name="image30.png"/>
            <a:graphic>
              <a:graphicData uri="http://schemas.openxmlformats.org/drawingml/2006/picture">
                <pic:pic>
                  <pic:nvPicPr>
                    <pic:cNvPr id="0" name="image30.png"/>
                    <pic:cNvPicPr preferRelativeResize="0"/>
                  </pic:nvPicPr>
                  <pic:blipFill>
                    <a:blip r:embed="rId42"/>
                    <a:srcRect b="0" l="0" r="0" t="0"/>
                    <a:stretch>
                      <a:fillRect/>
                    </a:stretch>
                  </pic:blipFill>
                  <pic:spPr>
                    <a:xfrm>
                      <a:off x="0" y="0"/>
                      <a:ext cx="572839" cy="2195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scalar result of the Epps-Pulley characteristic function test computed continuously over </w:t>
      </w:r>
      <w:r w:rsidDel="00000000" w:rsidR="00000000" w:rsidRPr="00000000">
        <w:rPr>
          <w:rFonts w:ascii="Google Sans" w:cs="Google Sans" w:eastAsia="Google Sans" w:hAnsi="Google Sans"/>
          <w:color w:val="1f1f1f"/>
        </w:rPr>
        <w:drawing>
          <wp:inline distB="19050" distT="19050" distL="19050" distR="19050">
            <wp:extent cx="813792" cy="229777"/>
            <wp:effectExtent b="0" l="0" r="0" t="0"/>
            <wp:docPr id="53"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813792" cy="229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random projection slices of the encoder's batch outputs.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Extensive physical representation research indicates that fixing the scaling hyperparameter at </w:t>
      </w:r>
      <w:r w:rsidDel="00000000" w:rsidR="00000000" w:rsidRPr="00000000">
        <w:rPr>
          <w:rFonts w:ascii="Google Sans" w:cs="Google Sans" w:eastAsia="Google Sans" w:hAnsi="Google Sans"/>
          <w:color w:val="1f1f1f"/>
        </w:rPr>
        <w:drawing>
          <wp:inline distB="19050" distT="19050" distL="19050" distR="19050">
            <wp:extent cx="589211" cy="228082"/>
            <wp:effectExtent b="0" l="0" r="0" t="0"/>
            <wp:docPr id="55" name="image41.png"/>
            <a:graphic>
              <a:graphicData uri="http://schemas.openxmlformats.org/drawingml/2006/picture">
                <pic:pic>
                  <pic:nvPicPr>
                    <pic:cNvPr id="0" name="image41.png"/>
                    <pic:cNvPicPr preferRelativeResize="0"/>
                  </pic:nvPicPr>
                  <pic:blipFill>
                    <a:blip r:embed="rId43"/>
                    <a:srcRect b="0" l="0" r="0" t="0"/>
                    <a:stretch>
                      <a:fillRect/>
                    </a:stretch>
                  </pic:blipFill>
                  <pic:spPr>
                    <a:xfrm>
                      <a:off x="0" y="0"/>
                      <a:ext cx="589211" cy="2280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538014" cy="230577"/>
            <wp:effectExtent b="0" l="0" r="0" t="0"/>
            <wp:docPr id="58" name="image32.png"/>
            <a:graphic>
              <a:graphicData uri="http://schemas.openxmlformats.org/drawingml/2006/picture">
                <pic:pic>
                  <pic:nvPicPr>
                    <pic:cNvPr id="0" name="image32.png"/>
                    <pic:cNvPicPr preferRelativeResize="0"/>
                  </pic:nvPicPr>
                  <pic:blipFill>
                    <a:blip r:embed="rId44"/>
                    <a:srcRect b="0" l="0" r="0" t="0"/>
                    <a:stretch>
                      <a:fillRect/>
                    </a:stretch>
                  </pic:blipFill>
                  <pic:spPr>
                    <a:xfrm>
                      <a:off x="0" y="0"/>
                      <a:ext cx="538014" cy="2305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(depending on the specific normalization of the architecture) provides exceptionally robust, heuristics-free convergence.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Crucially, unlike earlier iterations of the JEPA framework (such as I-JEPA or V-JEPA), the target encoder in LeJEPA does not require the computationally expensive and slow Exponential Moving Average (EMA) update mechanism.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Gradients are simply backpropagated through all components of the loss function simultaneously in an end-to-end manner. This architectural simplification massively accelerates overall training speed, maximizes GPU utilization, and significantly reduces the total VRAM footprint required during the backward pass.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Managing Slurm and Preemptible Spot Instances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Given the uniquely stringent VRAM requirements of processing 11-channel spatiotemporal simulation data (where even a diminutive 3.3 million parameter baseline JEPA model can consume nearly 100 GB of VRAM with a batch size of merely 8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3D ConvNeXt implementation must employ aggressive gradient checkpointing and mixed-precision (FP16 or BF16) training protocols.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designated Slurm environment relies exclusively on preemptible Google Cloud Platform (GCP) spot instances—which can be arbitrarily terminated by the cloud provider at any moment to reclaim capacity—script resiliency and automated state recovery are absolutely non-negotiable.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The #SBATCH --requeue directive must be prominently included in all job submission scripts to ensure that terminated jobs are automatically placed back into the pending queue.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 PyTorch training script must be engineered to persistently save comprehensive state dictionaries (encompassing the model weights, the optimizer state, the learning rate scheduler state, and the specific random seeds utilized for the SIGReg projection matrices) to the persistent /scratch/$NETID directory at the conclusion of every single epoch.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Data loaders must be heavily optimized to handle the extreme I/O overhead of the 52 GB active_matter dataset. Directly reading 52 GB of small sequential files from shared network storage during training will result in catastrophic I/O bottlenecks. Utilizing the provided Torch data transfer nodes (dtn.torch.hpc.nyu.edu) to physically move the dataset into the fast, localized NVMe storage on the specific compute nodes prior to initiating the training loop will ensure that the GPU is never starved for data during the rapid epoch cycling.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Downstream Evaluation Protocol</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Upon reaching optimization convergence, the 3D ConvNeXt encoder is permanently frozen. The physical parameter labels (</w:t>
      </w:r>
      <w:r w:rsidDel="00000000" w:rsidR="00000000" w:rsidRPr="00000000">
        <w:rPr>
          <w:rFonts w:ascii="Google Sans" w:cs="Google Sans" w:eastAsia="Google Sans" w:hAnsi="Google Sans"/>
          <w:color w:val="1f1f1f"/>
        </w:rPr>
        <w:drawing>
          <wp:inline distB="19050" distT="19050" distL="19050" distR="19050">
            <wp:extent cx="118616" cy="237232"/>
            <wp:effectExtent b="0" l="0" r="0" t="0"/>
            <wp:docPr id="6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118616" cy="2372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94357" cy="226457"/>
            <wp:effectExtent b="0" l="0" r="0" t="0"/>
            <wp:docPr id="6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94357" cy="2264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then extracted exclusively for the training set split to fit the required downstream evaluators.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evaluation strictly forbids any backpropagation into the encoder.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Linear Probing:</w:t>
      </w:r>
      <w:r w:rsidDel="00000000" w:rsidR="00000000" w:rsidRPr="00000000">
        <w:rPr>
          <w:rFonts w:ascii="Google Sans" w:cs="Google Sans" w:eastAsia="Google Sans" w:hAnsi="Google Sans"/>
          <w:color w:val="1f1f1f"/>
          <w:rtl w:val="0"/>
        </w:rPr>
        <w:t xml:space="preserve"> A standard sklearn Ridge Regressor or a simple PyTorch nn.Linear layer is trained on the frozen, extracted latent vectors using Mean Squared Error loss against the z-score normalized true parameters (</w:t>
      </w:r>
      <w:r w:rsidDel="00000000" w:rsidR="00000000" w:rsidRPr="00000000">
        <w:rPr>
          <w:rFonts w:ascii="Google Sans" w:cs="Google Sans" w:eastAsia="Google Sans" w:hAnsi="Google Sans"/>
          <w:color w:val="1f1f1f"/>
        </w:rPr>
        <w:drawing>
          <wp:inline distB="19050" distT="19050" distL="19050" distR="19050">
            <wp:extent cx="118616" cy="237232"/>
            <wp:effectExtent b="0" l="0" r="0" t="0"/>
            <wp:docPr id="64"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118616" cy="2372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94357" cy="226457"/>
            <wp:effectExtent b="0" l="0" r="0" t="0"/>
            <wp:docPr id="4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94357" cy="2264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Because SIGReg has forced the latent space into a perfect </w:t>
      </w:r>
      <w:r w:rsidDel="00000000" w:rsidR="00000000" w:rsidRPr="00000000">
        <w:rPr>
          <w:rFonts w:ascii="Google Sans" w:cs="Google Sans" w:eastAsia="Google Sans" w:hAnsi="Google Sans"/>
          <w:color w:val="1f1f1f"/>
        </w:rPr>
        <w:drawing>
          <wp:inline distB="19050" distT="19050" distL="19050" distR="19050">
            <wp:extent cx="591889" cy="229118"/>
            <wp:effectExtent b="0" l="0" r="0" t="0"/>
            <wp:docPr id="21" name="image42.png"/>
            <a:graphic>
              <a:graphicData uri="http://schemas.openxmlformats.org/drawingml/2006/picture">
                <pic:pic>
                  <pic:nvPicPr>
                    <pic:cNvPr id="0" name="image42.png"/>
                    <pic:cNvPicPr preferRelativeResize="0"/>
                  </pic:nvPicPr>
                  <pic:blipFill>
                    <a:blip r:embed="rId14"/>
                    <a:srcRect b="0" l="0" r="0" t="0"/>
                    <a:stretch>
                      <a:fillRect/>
                    </a:stretch>
                  </pic:blipFill>
                  <pic:spPr>
                    <a:xfrm>
                      <a:off x="0" y="0"/>
                      <a:ext cx="591889" cy="2291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topology, the features are already decorrelated, uniformly scaled, and zero-centered.</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behaves mathematically identically to executing perfect batch normalization on the extracted features, ensuring that the loss landscape of the downstream linear regression is highly convex, allowing the probe to instantly identify the optimal hyperplane that separates the varying active matter parameters.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k-NN Regression:</w:t>
      </w:r>
      <w:r w:rsidDel="00000000" w:rsidR="00000000" w:rsidRPr="00000000">
        <w:rPr>
          <w:rFonts w:ascii="Google Sans" w:cs="Google Sans" w:eastAsia="Google Sans" w:hAnsi="Google Sans"/>
          <w:color w:val="1f1f1f"/>
          <w:rtl w:val="0"/>
        </w:rPr>
        <w:t xml:space="preserve"> A KNeighborsRegressor is subsequently fit to the exact same latent space. Due to the mathematically guaranteed isotropic </w:t>
      </w:r>
      <w:r w:rsidDel="00000000" w:rsidR="00000000" w:rsidRPr="00000000">
        <w:rPr>
          <w:rFonts w:ascii="Google Sans" w:cs="Google Sans" w:eastAsia="Google Sans" w:hAnsi="Google Sans"/>
          <w:color w:val="1f1f1f"/>
        </w:rPr>
        <w:drawing>
          <wp:inline distB="19050" distT="19050" distL="19050" distR="19050">
            <wp:extent cx="591889" cy="229118"/>
            <wp:effectExtent b="0" l="0" r="0" t="0"/>
            <wp:docPr id="22" name="image42.png"/>
            <a:graphic>
              <a:graphicData uri="http://schemas.openxmlformats.org/drawingml/2006/picture">
                <pic:pic>
                  <pic:nvPicPr>
                    <pic:cNvPr id="0" name="image42.png"/>
                    <pic:cNvPicPr preferRelativeResize="0"/>
                  </pic:nvPicPr>
                  <pic:blipFill>
                    <a:blip r:embed="rId14"/>
                    <a:srcRect b="0" l="0" r="0" t="0"/>
                    <a:stretch>
                      <a:fillRect/>
                    </a:stretch>
                  </pic:blipFill>
                  <pic:spPr>
                    <a:xfrm>
                      <a:off x="0" y="0"/>
                      <a:ext cx="591889" cy="2291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geometry enforced by the Epps-Pulley test, the Euclidean distance computations will be perfectly calibrated. Hyperparameter search for the optimal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23" name="image14.png"/>
            <a:graphic>
              <a:graphicData uri="http://schemas.openxmlformats.org/drawingml/2006/picture">
                <pic:pic>
                  <pic:nvPicPr>
                    <pic:cNvPr id="0" name="image14.png"/>
                    <pic:cNvPicPr preferRelativeResize="0"/>
                  </pic:nvPicPr>
                  <pic:blipFill>
                    <a:blip r:embed="rId45"/>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value will be highly predictable and stable, likely optimizing in the range of </w:t>
      </w:r>
      <w:r w:rsidDel="00000000" w:rsidR="00000000" w:rsidRPr="00000000">
        <w:rPr>
          <w:rFonts w:ascii="Google Sans" w:cs="Google Sans" w:eastAsia="Google Sans" w:hAnsi="Google Sans"/>
          <w:color w:val="1f1f1f"/>
        </w:rPr>
        <w:drawing>
          <wp:inline distB="19050" distT="19050" distL="19050" distR="19050">
            <wp:extent cx="440085" cy="229609"/>
            <wp:effectExtent b="0" l="0" r="0" t="0"/>
            <wp:docPr id="25"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440085" cy="2296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532358" cy="228153"/>
            <wp:effectExtent b="0" l="0" r="0" t="0"/>
            <wp:docPr id="27" name="image18.png"/>
            <a:graphic>
              <a:graphicData uri="http://schemas.openxmlformats.org/drawingml/2006/picture">
                <pic:pic>
                  <pic:nvPicPr>
                    <pic:cNvPr id="0" name="image18.png"/>
                    <pic:cNvPicPr preferRelativeResize="0"/>
                  </pic:nvPicPr>
                  <pic:blipFill>
                    <a:blip r:embed="rId47"/>
                    <a:srcRect b="0" l="0" r="0" t="0"/>
                    <a:stretch>
                      <a:fillRect/>
                    </a:stretch>
                  </pic:blipFill>
                  <pic:spPr>
                    <a:xfrm>
                      <a:off x="0" y="0"/>
                      <a:ext cx="532358" cy="2281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contingent upon the local sampling density of the 45 unique parameter combinations within the training manifold.</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final evaluation applies these fitted regressors to the unseen test split. The resulting prediction MSE of the normalized parameters serves as the definitive, quantitative metric of how comprehensively and accurately the underlying physical laws of active matter were encoded.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and Strategic Outlook</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Overcoming the stagnant 0.6-0.7 MSE baseline in the unsupervised representation learning of physical active matter requires advancing decisively beyond the heuristic and topological limitations of VICReg. The analytical evidence dictates that the optimal trajectory forward involves adopting the Sketched Isotropic Gaussian Regularization (SIGReg) objective, seamlessly embedded within a parameter-efficient, high-capacity 3D ConvNeXt Spatiotemporal encoder.</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replacing granular pixel-level reconstruction with latent Euclidean prediction, the model avoids expending vital computational capacity on stochastic fluid noise. By replacing VICReg with SIGReg, the architecture provably enforces an isotropic Gaussian latent topology without requiring complex exponential moving averages or unstable stop-gradient heuristics. This highly uniform, orthogonal latent space directly addresses the most critical constraint of the project's evaluation protocol: it provides the perfect mathematical and geometric foundation for simple Euclidean distance metrics and linear separability. This ensures that downstream k-NN regressors and linear probes can accurately, reliably, and efficiently map the abstract representations to the precise continuous physical parameters </w:t>
      </w:r>
      <w:r w:rsidDel="00000000" w:rsidR="00000000" w:rsidRPr="00000000">
        <w:rPr>
          <w:rFonts w:ascii="Google Sans" w:cs="Google Sans" w:eastAsia="Google Sans" w:hAnsi="Google Sans"/>
          <w:color w:val="1f1f1f"/>
        </w:rPr>
        <w:drawing>
          <wp:inline distB="19050" distT="19050" distL="19050" distR="19050">
            <wp:extent cx="118616" cy="237232"/>
            <wp:effectExtent b="0" l="0" r="0" t="0"/>
            <wp:docPr id="29"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118616" cy="2372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94357" cy="226457"/>
            <wp:effectExtent b="0" l="0" r="0" t="0"/>
            <wp:docPr id="3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94357" cy="2264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Operating comfortably under the 100-million parameter limit and optimized for preemptible HPC spot instances, this framework maximizes theoretical rigor, computational efficiency, and downstream physical predictability.</w:t>
      </w:r>
    </w:p>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Final Project.docx</w:t>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Well: a Large-Scale Collection of Diverse Physics Simulations for Machine Learning, accessed on April 19, 2026, </w:t>
      </w:r>
      <w:hyperlink r:id="rId48">
        <w:r w:rsidDel="00000000" w:rsidR="00000000" w:rsidRPr="00000000">
          <w:rPr>
            <w:rFonts w:ascii="Google Sans" w:cs="Google Sans" w:eastAsia="Google Sans" w:hAnsi="Google Sans"/>
            <w:color w:val="0000ee"/>
            <w:sz w:val="24"/>
            <w:szCs w:val="24"/>
            <w:u w:val="single"/>
            <w:rtl w:val="0"/>
          </w:rPr>
          <w:t xml:space="preserve">https://arxiv.org/html/2412.00568v1</w:t>
        </w:r>
      </w:hyperlink>
      <w:r w:rsidDel="00000000" w:rsidR="00000000" w:rsidRPr="00000000">
        <w:rPr>
          <w:rtl w:val="0"/>
        </w:rPr>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Lightweight Library for Energy-Based Joint-Embedding Predictive Architectures - arXiv, accessed on April 19, 2026, </w:t>
      </w:r>
      <w:hyperlink r:id="rId49">
        <w:r w:rsidDel="00000000" w:rsidR="00000000" w:rsidRPr="00000000">
          <w:rPr>
            <w:rFonts w:ascii="Google Sans" w:cs="Google Sans" w:eastAsia="Google Sans" w:hAnsi="Google Sans"/>
            <w:color w:val="0000ee"/>
            <w:sz w:val="24"/>
            <w:szCs w:val="24"/>
            <w:u w:val="single"/>
            <w:rtl w:val="0"/>
          </w:rPr>
          <w:t xml:space="preserve">https://arxiv.org/html/2602.03604v1</w:t>
        </w:r>
      </w:hyperlink>
      <w:r w:rsidDel="00000000" w:rsidR="00000000" w:rsidRPr="00000000">
        <w:rPr>
          <w:rtl w:val="0"/>
        </w:rPr>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 LeJEPA: New Yann Lecun paper : r/MachineLearning - Reddit, accessed on April 19, 2026, </w:t>
      </w:r>
      <w:hyperlink r:id="rId50">
        <w:r w:rsidDel="00000000" w:rsidR="00000000" w:rsidRPr="00000000">
          <w:rPr>
            <w:rFonts w:ascii="Google Sans" w:cs="Google Sans" w:eastAsia="Google Sans" w:hAnsi="Google Sans"/>
            <w:color w:val="0000ee"/>
            <w:sz w:val="24"/>
            <w:szCs w:val="24"/>
            <w:u w:val="single"/>
            <w:rtl w:val="0"/>
          </w:rPr>
          <w:t xml:space="preserve">https://www.reddit.com/r/MachineLearning/comments/1ovm4fd/r_lejepa_new_yann_lecun_paper/</w:t>
        </w:r>
      </w:hyperlink>
      <w:r w:rsidDel="00000000" w:rsidR="00000000" w:rsidRPr="00000000">
        <w:rPr>
          <w:rtl w:val="0"/>
        </w:rPr>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LeJEPA: Provable and Scalable Self-Supervised Learning Without the Heuristics - arXiv, accessed on April 19, 2026, </w:t>
      </w:r>
      <w:hyperlink r:id="rId51">
        <w:r w:rsidDel="00000000" w:rsidR="00000000" w:rsidRPr="00000000">
          <w:rPr>
            <w:rFonts w:ascii="Google Sans" w:cs="Google Sans" w:eastAsia="Google Sans" w:hAnsi="Google Sans"/>
            <w:color w:val="0000ee"/>
            <w:sz w:val="24"/>
            <w:szCs w:val="24"/>
            <w:u w:val="single"/>
            <w:rtl w:val="0"/>
          </w:rPr>
          <w:t xml:space="preserve">https://arxiv.org/abs/2511.08544</w:t>
        </w:r>
      </w:hyperlink>
      <w:r w:rsidDel="00000000" w:rsidR="00000000" w:rsidRPr="00000000">
        <w:rPr>
          <w:rtl w:val="0"/>
        </w:rPr>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COAST: Intelligent Time-Adaptive Neural Operators - arXiv, accessed on April 19, 2026, </w:t>
      </w:r>
      <w:hyperlink r:id="rId52">
        <w:r w:rsidDel="00000000" w:rsidR="00000000" w:rsidRPr="00000000">
          <w:rPr>
            <w:rFonts w:ascii="Google Sans" w:cs="Google Sans" w:eastAsia="Google Sans" w:hAnsi="Google Sans"/>
            <w:color w:val="0000ee"/>
            <w:sz w:val="24"/>
            <w:szCs w:val="24"/>
            <w:u w:val="single"/>
            <w:rtl w:val="0"/>
          </w:rPr>
          <w:t xml:space="preserve">https://arxiv.org/html/2502.08574v1</w:t>
        </w:r>
      </w:hyperlink>
      <w:r w:rsidDel="00000000" w:rsidR="00000000" w:rsidRPr="00000000">
        <w:rPr>
          <w:rtl w:val="0"/>
        </w:rPr>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ConvNeXt-2U: A 3D Deep Learning-Based Segmentation Model for Unified and Automatic Segmentation of Lungs, Normal Liver and Tumors in Y-90 Radioembolization Dosimetry | Request PDF - ResearchGate, accessed on April 19, 2026, </w:t>
      </w:r>
      <w:hyperlink r:id="rId53">
        <w:r w:rsidDel="00000000" w:rsidR="00000000" w:rsidRPr="00000000">
          <w:rPr>
            <w:rFonts w:ascii="Google Sans" w:cs="Google Sans" w:eastAsia="Google Sans" w:hAnsi="Google Sans"/>
            <w:color w:val="0000ee"/>
            <w:sz w:val="24"/>
            <w:szCs w:val="24"/>
            <w:u w:val="single"/>
            <w:rtl w:val="0"/>
          </w:rPr>
          <w:t xml:space="preserve">https://www.researchgate.net/publication/386885717_ConvNeXt-2U_A_3D_Deep_Learning-Based_Segmentation_Model_for_Unified_and_Automatic_Segmentation_of_Lungs_Normal_Liver_and_Tumors_in_Y-90_Radioembolization_Dosimetry</w:t>
        </w:r>
      </w:hyperlink>
      <w:r w:rsidDel="00000000" w:rsidR="00000000" w:rsidRPr="00000000">
        <w:rPr>
          <w:rtl w:val="0"/>
        </w:rPr>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Group Averaging for Physics Applications: Accuracy Improvements at Zero Training Cost, accessed on April 19, 2026, </w:t>
      </w:r>
      <w:hyperlink r:id="rId54">
        <w:r w:rsidDel="00000000" w:rsidR="00000000" w:rsidRPr="00000000">
          <w:rPr>
            <w:rFonts w:ascii="Google Sans" w:cs="Google Sans" w:eastAsia="Google Sans" w:hAnsi="Google Sans"/>
            <w:color w:val="0000ee"/>
            <w:sz w:val="24"/>
            <w:szCs w:val="24"/>
            <w:u w:val="single"/>
            <w:rtl w:val="0"/>
          </w:rPr>
          <w:t xml:space="preserve">https://ml4physicalsciences.github.io/2025/files/NeurIPS_ML4PS_2025_169.pdf</w:t>
        </w:r>
      </w:hyperlink>
      <w:r w:rsidDel="00000000" w:rsidR="00000000" w:rsidRPr="00000000">
        <w:rPr>
          <w:rtl w:val="0"/>
        </w:rPr>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Well: a Large-Scale Collection of Diverse Physics Simulations for Machine Learning, accessed on April 19, 2026, </w:t>
      </w:r>
      <w:hyperlink r:id="rId55">
        <w:r w:rsidDel="00000000" w:rsidR="00000000" w:rsidRPr="00000000">
          <w:rPr>
            <w:rFonts w:ascii="Google Sans" w:cs="Google Sans" w:eastAsia="Google Sans" w:hAnsi="Google Sans"/>
            <w:color w:val="0000ee"/>
            <w:sz w:val="24"/>
            <w:szCs w:val="24"/>
            <w:u w:val="single"/>
            <w:rtl w:val="0"/>
          </w:rPr>
          <w:t xml:space="preserve">https://arxiv.org/html/2412.00568v2</w:t>
        </w:r>
      </w:hyperlink>
      <w:r w:rsidDel="00000000" w:rsidR="00000000" w:rsidRPr="00000000">
        <w:rPr>
          <w:rtl w:val="0"/>
        </w:rPr>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active_matter - The Well - Polymathic AI, accessed on April 19, 2026, </w:t>
      </w:r>
      <w:hyperlink r:id="rId56">
        <w:r w:rsidDel="00000000" w:rsidR="00000000" w:rsidRPr="00000000">
          <w:rPr>
            <w:rFonts w:ascii="Google Sans" w:cs="Google Sans" w:eastAsia="Google Sans" w:hAnsi="Google Sans"/>
            <w:color w:val="0000ee"/>
            <w:sz w:val="24"/>
            <w:szCs w:val="24"/>
            <w:u w:val="single"/>
            <w:rtl w:val="0"/>
          </w:rPr>
          <w:t xml:space="preserve">https://polymathic-ai.org/the_well/datasets/active_matter/</w:t>
        </w:r>
      </w:hyperlink>
      <w:r w:rsidDel="00000000" w:rsidR="00000000" w:rsidRPr="00000000">
        <w:rPr>
          <w:rtl w:val="0"/>
        </w:rPr>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publications | François Lanusse, accessed on April 19, 2026, </w:t>
      </w:r>
      <w:hyperlink r:id="rId57">
        <w:r w:rsidDel="00000000" w:rsidR="00000000" w:rsidRPr="00000000">
          <w:rPr>
            <w:rFonts w:ascii="Google Sans" w:cs="Google Sans" w:eastAsia="Google Sans" w:hAnsi="Google Sans"/>
            <w:color w:val="0000ee"/>
            <w:sz w:val="24"/>
            <w:szCs w:val="24"/>
            <w:u w:val="single"/>
            <w:rtl w:val="0"/>
          </w:rPr>
          <w:t xml:space="preserve">https://flanusse.net/publications/</w:t>
        </w:r>
      </w:hyperlink>
      <w:r w:rsidDel="00000000" w:rsidR="00000000" w:rsidRPr="00000000">
        <w:rPr>
          <w:rtl w:val="0"/>
        </w:rPr>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Scaling 4D Representations - arXiv, accessed on April 19, 2026, </w:t>
      </w:r>
      <w:hyperlink r:id="rId58">
        <w:r w:rsidDel="00000000" w:rsidR="00000000" w:rsidRPr="00000000">
          <w:rPr>
            <w:rFonts w:ascii="Google Sans" w:cs="Google Sans" w:eastAsia="Google Sans" w:hAnsi="Google Sans"/>
            <w:color w:val="0000ee"/>
            <w:sz w:val="24"/>
            <w:szCs w:val="24"/>
            <w:u w:val="single"/>
            <w:rtl w:val="0"/>
          </w:rPr>
          <w:t xml:space="preserve">https://arxiv.org/html/2412.15212v2</w:t>
        </w:r>
      </w:hyperlink>
      <w:r w:rsidDel="00000000" w:rsidR="00000000" w:rsidRPr="00000000">
        <w:rPr>
          <w:rtl w:val="0"/>
        </w:rPr>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Scaling 4D Representations - arXiv, accessed on April 19, 2026, </w:t>
      </w:r>
      <w:hyperlink r:id="rId59">
        <w:r w:rsidDel="00000000" w:rsidR="00000000" w:rsidRPr="00000000">
          <w:rPr>
            <w:rFonts w:ascii="Google Sans" w:cs="Google Sans" w:eastAsia="Google Sans" w:hAnsi="Google Sans"/>
            <w:color w:val="0000ee"/>
            <w:sz w:val="24"/>
            <w:szCs w:val="24"/>
            <w:u w:val="single"/>
            <w:rtl w:val="0"/>
          </w:rPr>
          <w:t xml:space="preserve">https://arxiv.org/html/2412.15212v1</w:t>
        </w:r>
      </w:hyperlink>
      <w:r w:rsidDel="00000000" w:rsidR="00000000" w:rsidRPr="00000000">
        <w:rPr>
          <w:rtl w:val="0"/>
        </w:rPr>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Representation Learning for Spatiotemporal Physical Systems - arXiv, accessed on April 19, 2026, </w:t>
      </w:r>
      <w:hyperlink r:id="rId60">
        <w:r w:rsidDel="00000000" w:rsidR="00000000" w:rsidRPr="00000000">
          <w:rPr>
            <w:rFonts w:ascii="Google Sans" w:cs="Google Sans" w:eastAsia="Google Sans" w:hAnsi="Google Sans"/>
            <w:color w:val="0000ee"/>
            <w:sz w:val="24"/>
            <w:szCs w:val="24"/>
            <w:u w:val="single"/>
            <w:rtl w:val="0"/>
          </w:rPr>
          <w:t xml:space="preserve">https://arxiv.org/html/2603.13227</w:t>
        </w:r>
      </w:hyperlink>
      <w:r w:rsidDel="00000000" w:rsidR="00000000" w:rsidRPr="00000000">
        <w:rPr>
          <w:rtl w:val="0"/>
        </w:rPr>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Annotated JEPA | Elements of a Vector Space - Elon Litman, accessed on April 19, 2026, </w:t>
      </w:r>
      <w:hyperlink r:id="rId61">
        <w:r w:rsidDel="00000000" w:rsidR="00000000" w:rsidRPr="00000000">
          <w:rPr>
            <w:rFonts w:ascii="Google Sans" w:cs="Google Sans" w:eastAsia="Google Sans" w:hAnsi="Google Sans"/>
            <w:color w:val="0000ee"/>
            <w:sz w:val="24"/>
            <w:szCs w:val="24"/>
            <w:u w:val="single"/>
            <w:rtl w:val="0"/>
          </w:rPr>
          <w:t xml:space="preserve">https://elonlit.com/scrivings/the-annotated-jepa/</w:t>
        </w:r>
      </w:hyperlink>
      <w:r w:rsidDel="00000000" w:rsidR="00000000" w:rsidRPr="00000000">
        <w:rPr>
          <w:rtl w:val="0"/>
        </w:rPr>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Self-Supervised Learning from Images with a Joint-Embedding Predictive Architecture | Request PDF - ResearchGate, accessed on April 19, 2026, </w:t>
      </w:r>
      <w:hyperlink r:id="rId62">
        <w:r w:rsidDel="00000000" w:rsidR="00000000" w:rsidRPr="00000000">
          <w:rPr>
            <w:rFonts w:ascii="Google Sans" w:cs="Google Sans" w:eastAsia="Google Sans" w:hAnsi="Google Sans"/>
            <w:color w:val="0000ee"/>
            <w:sz w:val="24"/>
            <w:szCs w:val="24"/>
            <w:u w:val="single"/>
            <w:rtl w:val="0"/>
          </w:rPr>
          <w:t xml:space="preserve">https://www.researchgate.net/publication/373310287_Self-Supervised_Learning_from_Images_with_a_Joint-Embedding_Predictive_Architecture</w:t>
        </w:r>
      </w:hyperlink>
      <w:r w:rsidDel="00000000" w:rsidR="00000000" w:rsidRPr="00000000">
        <w:rPr>
          <w:rtl w:val="0"/>
        </w:rPr>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Elon Litman | Elements of a Vector Space, accessed on April 19, 2026, </w:t>
      </w:r>
      <w:hyperlink r:id="rId63">
        <w:r w:rsidDel="00000000" w:rsidR="00000000" w:rsidRPr="00000000">
          <w:rPr>
            <w:rFonts w:ascii="Google Sans" w:cs="Google Sans" w:eastAsia="Google Sans" w:hAnsi="Google Sans"/>
            <w:color w:val="0000ee"/>
            <w:sz w:val="24"/>
            <w:szCs w:val="24"/>
            <w:u w:val="single"/>
            <w:rtl w:val="0"/>
          </w:rPr>
          <w:t xml:space="preserve">https://elonlit.com/</w:t>
        </w:r>
      </w:hyperlink>
      <w:r w:rsidDel="00000000" w:rsidR="00000000" w:rsidRPr="00000000">
        <w:rPr>
          <w:rtl w:val="0"/>
        </w:rPr>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LeJEPA: Provable and Scalable Self-Supervised Learning Without the Heuristics - alphaXiv, accessed on April 19, 2026, </w:t>
      </w:r>
      <w:hyperlink r:id="rId64">
        <w:r w:rsidDel="00000000" w:rsidR="00000000" w:rsidRPr="00000000">
          <w:rPr>
            <w:rFonts w:ascii="Google Sans" w:cs="Google Sans" w:eastAsia="Google Sans" w:hAnsi="Google Sans"/>
            <w:color w:val="0000ee"/>
            <w:sz w:val="24"/>
            <w:szCs w:val="24"/>
            <w:u w:val="single"/>
            <w:rtl w:val="0"/>
          </w:rPr>
          <w:t xml:space="preserve">https://www.alphaxiv.org/overview/2511.08544v3</w:t>
        </w:r>
      </w:hyperlink>
      <w:r w:rsidDel="00000000" w:rsidR="00000000" w:rsidRPr="00000000">
        <w:rPr>
          <w:rtl w:val="0"/>
        </w:rPr>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Training loss exhibits strong correlation with downstream linear probe performance on ImageNet-1k (ViT-base), providing the first practical loss for model selection without supervised probing. Top-right: Training stability without heuristics even on 1.8B ViT-g models, stable training loss. Bottom-left: PCA features from ImageNet-1k pretrained LeJEPA ViT-Large demonstrate clear semantic relationships. Bottom-right: Galaxy10 in-domain results showcasing LeJEPA's in-domain pretraining consistently outperforms state-of-the-art frontier foundation models transfer learning (DINOv2/v3 trained on natural images) across data regimes from 1-shot to full supervision. This demonstrates that domain-specific SSL beats generic transfer learning, even against massive-scale frontier models, when the framework scales effortlessly to any domain, model, and data scale. - arXiv, accessed on April 19, 2026, </w:t>
      </w:r>
      <w:hyperlink r:id="rId65">
        <w:r w:rsidDel="00000000" w:rsidR="00000000" w:rsidRPr="00000000">
          <w:rPr>
            <w:rFonts w:ascii="Google Sans" w:cs="Google Sans" w:eastAsia="Google Sans" w:hAnsi="Google Sans"/>
            <w:color w:val="0000ee"/>
            <w:sz w:val="24"/>
            <w:szCs w:val="24"/>
            <w:u w:val="single"/>
            <w:rtl w:val="0"/>
          </w:rPr>
          <w:t xml:space="preserve">https://arxiv.org/html/2511.08544v2</w:t>
        </w:r>
      </w:hyperlink>
      <w:r w:rsidDel="00000000" w:rsidR="00000000" w:rsidRPr="00000000">
        <w:rPr>
          <w:rtl w:val="0"/>
        </w:rPr>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LeWorldModel: Stable End-to-End Joint-Embedding Predictive Architecture from Pixels, accessed on April 19, 2026, </w:t>
      </w:r>
      <w:hyperlink r:id="rId66">
        <w:r w:rsidDel="00000000" w:rsidR="00000000" w:rsidRPr="00000000">
          <w:rPr>
            <w:rFonts w:ascii="Google Sans" w:cs="Google Sans" w:eastAsia="Google Sans" w:hAnsi="Google Sans"/>
            <w:color w:val="0000ee"/>
            <w:sz w:val="24"/>
            <w:szCs w:val="24"/>
            <w:u w:val="single"/>
            <w:rtl w:val="0"/>
          </w:rPr>
          <w:t xml:space="preserve">https://arxiv.org/html/2603.19312v2</w:t>
        </w:r>
      </w:hyperlink>
      <w:r w:rsidDel="00000000" w:rsidR="00000000" w:rsidRPr="00000000">
        <w:rPr>
          <w:rtl w:val="0"/>
        </w:rPr>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Weak-SIGReg: Covariance Regularization for Stable Deep Learning - ResearchGate, accessed on April 19, 2026, </w:t>
      </w:r>
      <w:hyperlink r:id="rId67">
        <w:r w:rsidDel="00000000" w:rsidR="00000000" w:rsidRPr="00000000">
          <w:rPr>
            <w:rFonts w:ascii="Google Sans" w:cs="Google Sans" w:eastAsia="Google Sans" w:hAnsi="Google Sans"/>
            <w:color w:val="0000ee"/>
            <w:sz w:val="24"/>
            <w:szCs w:val="24"/>
            <w:u w:val="single"/>
            <w:rtl w:val="0"/>
          </w:rPr>
          <w:t xml:space="preserve">https://www.researchgate.net/publication/401692064_Weak-SIGReg_Covariance_Regularization_for_Stable_Deep_Learning</w:t>
        </w:r>
      </w:hyperlink>
      <w:r w:rsidDel="00000000" w:rsidR="00000000" w:rsidRPr="00000000">
        <w:rPr>
          <w:rtl w:val="0"/>
        </w:rPr>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Weak-SIGReg: Covariance Regularization for Stable Deep Learning - arXiv, accessed on April 19, 2026, </w:t>
      </w:r>
      <w:hyperlink r:id="rId68">
        <w:r w:rsidDel="00000000" w:rsidR="00000000" w:rsidRPr="00000000">
          <w:rPr>
            <w:rFonts w:ascii="Google Sans" w:cs="Google Sans" w:eastAsia="Google Sans" w:hAnsi="Google Sans"/>
            <w:color w:val="0000ee"/>
            <w:sz w:val="24"/>
            <w:szCs w:val="24"/>
            <w:u w:val="single"/>
            <w:rtl w:val="0"/>
          </w:rPr>
          <w:t xml:space="preserve">https://arxiv.org/pdf/2603.05924</w:t>
        </w:r>
      </w:hyperlink>
      <w:r w:rsidDel="00000000" w:rsidR="00000000" w:rsidRPr="00000000">
        <w:rPr>
          <w:rtl w:val="0"/>
        </w:rPr>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Weak-SIGReg: Covariance Regularization for Stable Deep Learning - arXiv, accessed on April 19, 2026, </w:t>
      </w:r>
      <w:hyperlink r:id="rId69">
        <w:r w:rsidDel="00000000" w:rsidR="00000000" w:rsidRPr="00000000">
          <w:rPr>
            <w:rFonts w:ascii="Google Sans" w:cs="Google Sans" w:eastAsia="Google Sans" w:hAnsi="Google Sans"/>
            <w:color w:val="0000ee"/>
            <w:sz w:val="24"/>
            <w:szCs w:val="24"/>
            <w:u w:val="single"/>
            <w:rtl w:val="0"/>
          </w:rPr>
          <w:t xml:space="preserve">https://arxiv.org/html/2603.05924v1</w:t>
        </w:r>
      </w:hyperlink>
      <w:r w:rsidDel="00000000" w:rsidR="00000000" w:rsidRPr="00000000">
        <w:rPr>
          <w:rtl w:val="0"/>
        </w:rPr>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kreasof-ai/sigreg, accessed on April 19, 2026, </w:t>
      </w:r>
      <w:hyperlink r:id="rId70">
        <w:r w:rsidDel="00000000" w:rsidR="00000000" w:rsidRPr="00000000">
          <w:rPr>
            <w:rFonts w:ascii="Google Sans" w:cs="Google Sans" w:eastAsia="Google Sans" w:hAnsi="Google Sans"/>
            <w:color w:val="0000ee"/>
            <w:sz w:val="24"/>
            <w:szCs w:val="24"/>
            <w:u w:val="single"/>
            <w:rtl w:val="0"/>
          </w:rPr>
          <w:t xml:space="preserve">https://github.com/kreasof-ai/sigreg</w:t>
        </w:r>
      </w:hyperlink>
      <w:r w:rsidDel="00000000" w:rsidR="00000000" w:rsidRPr="00000000">
        <w:rPr>
          <w:rtl w:val="0"/>
        </w:rPr>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LeJEPA Epps-Pulley Regularizer - Emergent Mind, accessed on April 19, 2026, </w:t>
      </w:r>
      <w:hyperlink r:id="rId71">
        <w:r w:rsidDel="00000000" w:rsidR="00000000" w:rsidRPr="00000000">
          <w:rPr>
            <w:rFonts w:ascii="Google Sans" w:cs="Google Sans" w:eastAsia="Google Sans" w:hAnsi="Google Sans"/>
            <w:color w:val="0000ee"/>
            <w:sz w:val="24"/>
            <w:szCs w:val="24"/>
            <w:u w:val="single"/>
            <w:rtl w:val="0"/>
          </w:rPr>
          <w:t xml:space="preserve">https://www.emergentmind.com/topics/lejepa-epps-pulley-regularizer</w:t>
        </w:r>
      </w:hyperlink>
      <w:r w:rsidDel="00000000" w:rsidR="00000000" w:rsidRPr="00000000">
        <w:rPr>
          <w:rtl w:val="0"/>
        </w:rPr>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Training loss exhibits strong correlation with downstream linear probe performance on ImageNet-1k (ViT-base), providing the first practical loss for model selection without supervised probing. Top-right: Training stability without heuristics even on 1.8B ViT-g models, stable training loss. Bottom-left: PCA features from ImageNet-1k pretrained LeJEPA ViT-Large demonstrate clear semantic relationships. Bottom-right: Galaxy10 in-domain results showcasing LeJEPA's in-domain pretraining consistently outperforms state-of-the-art frontier foundation models transfer learning (DINOv2/v3 trained on natural images) across data regimes from 1-shot to full supervision. This demonstrates that domain-specific SSL beats generic transfer learning, even against massive-scale frontier models, when the framework scales effortlessly to any domain, model, and data scale. - arXiv, accessed on April 19, 2026, </w:t>
      </w:r>
      <w:hyperlink r:id="rId72">
        <w:r w:rsidDel="00000000" w:rsidR="00000000" w:rsidRPr="00000000">
          <w:rPr>
            <w:rFonts w:ascii="Google Sans" w:cs="Google Sans" w:eastAsia="Google Sans" w:hAnsi="Google Sans"/>
            <w:color w:val="0000ee"/>
            <w:sz w:val="24"/>
            <w:szCs w:val="24"/>
            <w:u w:val="single"/>
            <w:rtl w:val="0"/>
          </w:rPr>
          <w:t xml:space="preserve">https://arxiv.org/html/2511.08544v3</w:t>
        </w:r>
      </w:hyperlink>
      <w:r w:rsidDel="00000000" w:rsidR="00000000" w:rsidRPr="00000000">
        <w:rPr>
          <w:rtl w:val="0"/>
        </w:rPr>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LeJEPA: Provable and Scalable Self-Supervised Learning Without the Heuristics - ResearchGate, accessed on April 19, 2026, </w:t>
      </w:r>
      <w:hyperlink r:id="rId73">
        <w:r w:rsidDel="00000000" w:rsidR="00000000" w:rsidRPr="00000000">
          <w:rPr>
            <w:rFonts w:ascii="Google Sans" w:cs="Google Sans" w:eastAsia="Google Sans" w:hAnsi="Google Sans"/>
            <w:color w:val="0000ee"/>
            <w:sz w:val="24"/>
            <w:szCs w:val="24"/>
            <w:u w:val="single"/>
            <w:rtl w:val="0"/>
          </w:rPr>
          <w:t xml:space="preserve">https://www.researchgate.net/publication/397522456_LeJEPA_Provable_and_Scalable_Self-Supervised_Learning_Without_the_Heuristics/fulltext/6914039f4baee16591924a41/LeJEPA-Provable-and-Scalable-Self-Supervised-Learning-Without-the-Heuristics.pdf?origin=scientificContributions</w:t>
        </w:r>
      </w:hyperlink>
      <w:r w:rsidDel="00000000" w:rsidR="00000000" w:rsidRPr="00000000">
        <w:rPr>
          <w:rtl w:val="0"/>
        </w:rPr>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Latent-Euclidean JEPA (LeJEPA) - Emergent Mind, accessed on April 19, 2026, </w:t>
      </w:r>
      <w:hyperlink r:id="rId74">
        <w:r w:rsidDel="00000000" w:rsidR="00000000" w:rsidRPr="00000000">
          <w:rPr>
            <w:rFonts w:ascii="Google Sans" w:cs="Google Sans" w:eastAsia="Google Sans" w:hAnsi="Google Sans"/>
            <w:color w:val="0000ee"/>
            <w:sz w:val="24"/>
            <w:szCs w:val="24"/>
            <w:u w:val="single"/>
            <w:rtl w:val="0"/>
          </w:rPr>
          <w:t xml:space="preserve">https://www.emergentmind.com/topics/latent-euclidean-jepa-lejepa</w:t>
        </w:r>
      </w:hyperlink>
      <w:r w:rsidDel="00000000" w:rsidR="00000000" w:rsidRPr="00000000">
        <w:rPr>
          <w:rtl w:val="0"/>
        </w:rPr>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Rectified LpJEPA | Yilun Kuang - GitHub Pages, accessed on April 19, 2026, </w:t>
      </w:r>
      <w:hyperlink r:id="rId75">
        <w:r w:rsidDel="00000000" w:rsidR="00000000" w:rsidRPr="00000000">
          <w:rPr>
            <w:rFonts w:ascii="Google Sans" w:cs="Google Sans" w:eastAsia="Google Sans" w:hAnsi="Google Sans"/>
            <w:color w:val="0000ee"/>
            <w:sz w:val="24"/>
            <w:szCs w:val="24"/>
            <w:u w:val="single"/>
            <w:rtl w:val="0"/>
          </w:rPr>
          <w:t xml:space="preserve">https://yilunkuang.github.io/blog/2026/rectified-lp-jepa/</w:t>
        </w:r>
      </w:hyperlink>
      <w:r w:rsidDel="00000000" w:rsidR="00000000" w:rsidRPr="00000000">
        <w:rPr>
          <w:rtl w:val="0"/>
        </w:rPr>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LeWorldModel: Stable End-to-End Joint-Embedding Predictive Architecture from Pixels, accessed on April 19, 2026, </w:t>
      </w:r>
      <w:hyperlink r:id="rId76">
        <w:r w:rsidDel="00000000" w:rsidR="00000000" w:rsidRPr="00000000">
          <w:rPr>
            <w:rFonts w:ascii="Google Sans" w:cs="Google Sans" w:eastAsia="Google Sans" w:hAnsi="Google Sans"/>
            <w:color w:val="0000ee"/>
            <w:sz w:val="24"/>
            <w:szCs w:val="24"/>
            <w:u w:val="single"/>
            <w:rtl w:val="0"/>
          </w:rPr>
          <w:t xml:space="preserve">https://arxiv.org/html/2603.19312v1</w:t>
        </w:r>
      </w:hyperlink>
      <w:r w:rsidDel="00000000" w:rsidR="00000000" w:rsidRPr="00000000">
        <w:rPr>
          <w:rtl w:val="0"/>
        </w:rPr>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eb_jepa/examples/image_jepa/README.md at main - GitHub, accessed on April 19, 2026, </w:t>
      </w:r>
      <w:hyperlink r:id="rId77">
        <w:r w:rsidDel="00000000" w:rsidR="00000000" w:rsidRPr="00000000">
          <w:rPr>
            <w:rFonts w:ascii="Google Sans" w:cs="Google Sans" w:eastAsia="Google Sans" w:hAnsi="Google Sans"/>
            <w:color w:val="0000ee"/>
            <w:sz w:val="24"/>
            <w:szCs w:val="24"/>
            <w:u w:val="single"/>
            <w:rtl w:val="0"/>
          </w:rPr>
          <w:t xml:space="preserve">https://github.com/facebookresearch/eb_jepa/blob/main/examples/image_jepa/README.md</w:t>
        </w:r>
      </w:hyperlink>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Lightweight Library for Energy-Based Joint-Embedding Predictive Architectures - arXiv, accessed on April 19, 2026, </w:t>
      </w:r>
      <w:hyperlink r:id="rId78">
        <w:r w:rsidDel="00000000" w:rsidR="00000000" w:rsidRPr="00000000">
          <w:rPr>
            <w:rFonts w:ascii="Google Sans" w:cs="Google Sans" w:eastAsia="Google Sans" w:hAnsi="Google Sans"/>
            <w:color w:val="0000ee"/>
            <w:sz w:val="24"/>
            <w:szCs w:val="24"/>
            <w:u w:val="single"/>
            <w:rtl w:val="0"/>
          </w:rPr>
          <w:t xml:space="preserve">https://arxiv.org/html/2602.03604v3</w:t>
        </w:r>
      </w:hyperlink>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WaveLiT: A Parameter-Efficient Architecture for Neural PDE Solvers - Machine Learning and the Physical Sciences, accessed on April 19, 2026, </w:t>
      </w:r>
      <w:hyperlink r:id="rId79">
        <w:r w:rsidDel="00000000" w:rsidR="00000000" w:rsidRPr="00000000">
          <w:rPr>
            <w:rFonts w:ascii="Google Sans" w:cs="Google Sans" w:eastAsia="Google Sans" w:hAnsi="Google Sans"/>
            <w:color w:val="0000ee"/>
            <w:sz w:val="24"/>
            <w:szCs w:val="24"/>
            <w:u w:val="single"/>
            <w:rtl w:val="0"/>
          </w:rPr>
          <w:t xml:space="preserve">https://ml4physicalsciences.github.io/2025/files/NeurIPS_ML4PS_2025_203.pdf</w:t>
        </w:r>
      </w:hyperlink>
      <w:r w:rsidDel="00000000" w:rsidR="00000000" w:rsidRPr="00000000">
        <w:rPr>
          <w:rtl w:val="0"/>
        </w:rPr>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Comprehensive Subjective and Objective Evaluation Method for Text-generated Video - arXiv, accessed on April 19, 2026, </w:t>
      </w:r>
      <w:hyperlink r:id="rId80">
        <w:r w:rsidDel="00000000" w:rsidR="00000000" w:rsidRPr="00000000">
          <w:rPr>
            <w:rFonts w:ascii="Google Sans" w:cs="Google Sans" w:eastAsia="Google Sans" w:hAnsi="Google Sans"/>
            <w:color w:val="0000ee"/>
            <w:sz w:val="24"/>
            <w:szCs w:val="24"/>
            <w:u w:val="single"/>
            <w:rtl w:val="0"/>
          </w:rPr>
          <w:t xml:space="preserve">https://arxiv.org/html/2501.08545v1</w:t>
        </w:r>
      </w:hyperlink>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DiagNeXt: A Two-Stage Attention-Guided ConvNeXt Framework for Kidney Pathology Segmentation and Classification - PMC, accessed on April 19, 2026, </w:t>
      </w:r>
      <w:hyperlink r:id="rId81">
        <w:r w:rsidDel="00000000" w:rsidR="00000000" w:rsidRPr="00000000">
          <w:rPr>
            <w:rFonts w:ascii="Google Sans" w:cs="Google Sans" w:eastAsia="Google Sans" w:hAnsi="Google Sans"/>
            <w:color w:val="0000ee"/>
            <w:sz w:val="24"/>
            <w:szCs w:val="24"/>
            <w:u w:val="single"/>
            <w:rtl w:val="0"/>
          </w:rPr>
          <w:t xml:space="preserve">https://pmc.ncbi.nlm.nih.gov/articles/PMC12733990/</w:t>
        </w:r>
      </w:hyperlink>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Hierarchical-embedding autoencoder with a predictor as efficient architecture for learning time-evolution in multi-scale turbulent flows - AIP Publishing, accessed on April 19, 2026, </w:t>
      </w:r>
      <w:hyperlink r:id="rId82">
        <w:r w:rsidDel="00000000" w:rsidR="00000000" w:rsidRPr="00000000">
          <w:rPr>
            <w:rFonts w:ascii="Google Sans" w:cs="Google Sans" w:eastAsia="Google Sans" w:hAnsi="Google Sans"/>
            <w:color w:val="0000ee"/>
            <w:sz w:val="24"/>
            <w:szCs w:val="24"/>
            <w:u w:val="single"/>
            <w:rtl w:val="0"/>
          </w:rPr>
          <w:t xml:space="preserve">https://pubs.aip.org/aip/pof/article/38/4/045138/3387253/Hierarchical-embedding-autoencoder-with-a</w:t>
        </w:r>
      </w:hyperlink>
      <w:r w:rsidDel="00000000" w:rsidR="00000000" w:rsidRPr="00000000">
        <w:rPr>
          <w:rtl w:val="0"/>
        </w:rPr>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ACC-UNet: A Completely Convolutional UNet Model for the 2020s - ResearchGate, accessed on April 19, 2026, </w:t>
      </w:r>
      <w:hyperlink r:id="rId83">
        <w:r w:rsidDel="00000000" w:rsidR="00000000" w:rsidRPr="00000000">
          <w:rPr>
            <w:rFonts w:ascii="Google Sans" w:cs="Google Sans" w:eastAsia="Google Sans" w:hAnsi="Google Sans"/>
            <w:color w:val="0000ee"/>
            <w:sz w:val="24"/>
            <w:szCs w:val="24"/>
            <w:u w:val="single"/>
            <w:rtl w:val="0"/>
          </w:rPr>
          <w:t xml:space="preserve">https://www.researchgate.net/publication/374341926_ACC-UNet_A_Completely_Convolutional_UNet_Model_for_the_2020s</w:t>
        </w:r>
      </w:hyperlink>
      <w:r w:rsidDel="00000000" w:rsidR="00000000" w:rsidRPr="00000000">
        <w:rPr>
          <w:rtl w:val="0"/>
        </w:rPr>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galilai-group/lejepa - GitHub, accessed on April 19, 2026, </w:t>
      </w:r>
      <w:hyperlink r:id="rId84">
        <w:r w:rsidDel="00000000" w:rsidR="00000000" w:rsidRPr="00000000">
          <w:rPr>
            <w:rFonts w:ascii="Google Sans" w:cs="Google Sans" w:eastAsia="Google Sans" w:hAnsi="Google Sans"/>
            <w:color w:val="0000ee"/>
            <w:sz w:val="24"/>
            <w:szCs w:val="24"/>
            <w:u w:val="single"/>
            <w:rtl w:val="0"/>
          </w:rPr>
          <w:t xml:space="preserve">https://github.com/galilai-group/lejepa</w:t>
        </w:r>
      </w:hyperlink>
      <w:r w:rsidDel="00000000" w:rsidR="00000000" w:rsidRPr="00000000">
        <w:rPr>
          <w:rtl w:val="0"/>
        </w:rPr>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LayerLock: Non-collapsing Representation Learning with Progressive Freezing, accessed on April 19, 2026, </w:t>
      </w:r>
      <w:hyperlink r:id="rId85">
        <w:r w:rsidDel="00000000" w:rsidR="00000000" w:rsidRPr="00000000">
          <w:rPr>
            <w:rFonts w:ascii="Google Sans" w:cs="Google Sans" w:eastAsia="Google Sans" w:hAnsi="Google Sans"/>
            <w:color w:val="0000ee"/>
            <w:sz w:val="24"/>
            <w:szCs w:val="24"/>
            <w:u w:val="single"/>
            <w:rtl w:val="0"/>
          </w:rPr>
          <w:t xml:space="preserve">https://www.researchgate.net/publication/395473884_LayerLock_Non-collapsing_Representation_Learning_with_Progressive_Freezing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84" Type="http://schemas.openxmlformats.org/officeDocument/2006/relationships/hyperlink" Target="https://github.com/galilai-group/lejepa" TargetMode="External"/><Relationship Id="rId83" Type="http://schemas.openxmlformats.org/officeDocument/2006/relationships/hyperlink" Target="https://www.researchgate.net/publication/374341926_ACC-UNet_A_Completely_Convolutional_UNet_Model_for_the_2020s" TargetMode="External"/><Relationship Id="rId42" Type="http://schemas.openxmlformats.org/officeDocument/2006/relationships/image" Target="media/image30.png"/><Relationship Id="rId41" Type="http://schemas.openxmlformats.org/officeDocument/2006/relationships/image" Target="media/image36.png"/><Relationship Id="rId85" Type="http://schemas.openxmlformats.org/officeDocument/2006/relationships/hyperlink" Target="https://www.researchgate.net/publication/395473884_LayerLock_Non-collapsing_Representation_Learning_with_Progressive_Freezing" TargetMode="External"/><Relationship Id="rId44" Type="http://schemas.openxmlformats.org/officeDocument/2006/relationships/image" Target="media/image32.png"/><Relationship Id="rId43" Type="http://schemas.openxmlformats.org/officeDocument/2006/relationships/image" Target="media/image41.png"/><Relationship Id="rId46" Type="http://schemas.openxmlformats.org/officeDocument/2006/relationships/image" Target="media/image16.png"/><Relationship Id="rId45" Type="http://schemas.openxmlformats.org/officeDocument/2006/relationships/image" Target="media/image14.png"/><Relationship Id="rId80" Type="http://schemas.openxmlformats.org/officeDocument/2006/relationships/hyperlink" Target="https://arxiv.org/html/2501.08545v1" TargetMode="External"/><Relationship Id="rId82" Type="http://schemas.openxmlformats.org/officeDocument/2006/relationships/hyperlink" Target="https://pubs.aip.org/aip/pof/article/38/4/045138/3387253/Hierarchical-embedding-autoencoder-with-a" TargetMode="External"/><Relationship Id="rId81" Type="http://schemas.openxmlformats.org/officeDocument/2006/relationships/hyperlink" Target="https://pmc.ncbi.nlm.nih.gov/articles/PMC1273399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48" Type="http://schemas.openxmlformats.org/officeDocument/2006/relationships/hyperlink" Target="https://arxiv.org/html/2412.00568v1" TargetMode="External"/><Relationship Id="rId47" Type="http://schemas.openxmlformats.org/officeDocument/2006/relationships/image" Target="media/image18.png"/><Relationship Id="rId49" Type="http://schemas.openxmlformats.org/officeDocument/2006/relationships/hyperlink" Target="https://arxiv.org/html/2602.03604v1" TargetMode="External"/><Relationship Id="rId5" Type="http://schemas.openxmlformats.org/officeDocument/2006/relationships/styles" Target="styles.xml"/><Relationship Id="rId6" Type="http://schemas.openxmlformats.org/officeDocument/2006/relationships/image" Target="media/image20.png"/><Relationship Id="rId7" Type="http://schemas.openxmlformats.org/officeDocument/2006/relationships/image" Target="media/image5.png"/><Relationship Id="rId8" Type="http://schemas.openxmlformats.org/officeDocument/2006/relationships/image" Target="media/image35.png"/><Relationship Id="rId73" Type="http://schemas.openxmlformats.org/officeDocument/2006/relationships/hyperlink" Target="https://www.researchgate.net/publication/397522456_LeJEPA_Provable_and_Scalable_Self-Supervised_Learning_Without_the_Heuristics/fulltext/6914039f4baee16591924a41/LeJEPA-Provable-and-Scalable-Self-Supervised-Learning-Without-the-Heuristics.pdf?origin=scientificContributions" TargetMode="External"/><Relationship Id="rId72" Type="http://schemas.openxmlformats.org/officeDocument/2006/relationships/hyperlink" Target="https://arxiv.org/html/2511.08544v3" TargetMode="External"/><Relationship Id="rId31" Type="http://schemas.openxmlformats.org/officeDocument/2006/relationships/image" Target="media/image6.png"/><Relationship Id="rId75" Type="http://schemas.openxmlformats.org/officeDocument/2006/relationships/hyperlink" Target="https://yilunkuang.github.io/blog/2026/rectified-lp-jepa/" TargetMode="External"/><Relationship Id="rId30" Type="http://schemas.openxmlformats.org/officeDocument/2006/relationships/image" Target="media/image1.png"/><Relationship Id="rId74" Type="http://schemas.openxmlformats.org/officeDocument/2006/relationships/hyperlink" Target="https://www.emergentmind.com/topics/latent-euclidean-jepa-lejepa" TargetMode="External"/><Relationship Id="rId33" Type="http://schemas.openxmlformats.org/officeDocument/2006/relationships/image" Target="media/image19.png"/><Relationship Id="rId77" Type="http://schemas.openxmlformats.org/officeDocument/2006/relationships/hyperlink" Target="https://github.com/facebookresearch/eb_jepa/blob/main/examples/image_jepa/README.md" TargetMode="External"/><Relationship Id="rId32" Type="http://schemas.openxmlformats.org/officeDocument/2006/relationships/image" Target="media/image24.png"/><Relationship Id="rId76" Type="http://schemas.openxmlformats.org/officeDocument/2006/relationships/hyperlink" Target="https://arxiv.org/html/2603.19312v1" TargetMode="External"/><Relationship Id="rId35" Type="http://schemas.openxmlformats.org/officeDocument/2006/relationships/image" Target="media/image11.png"/><Relationship Id="rId79" Type="http://schemas.openxmlformats.org/officeDocument/2006/relationships/hyperlink" Target="https://ml4physicalsciences.github.io/2025/files/NeurIPS_ML4PS_2025_203.pdf" TargetMode="External"/><Relationship Id="rId34" Type="http://schemas.openxmlformats.org/officeDocument/2006/relationships/image" Target="media/image7.png"/><Relationship Id="rId78" Type="http://schemas.openxmlformats.org/officeDocument/2006/relationships/hyperlink" Target="https://arxiv.org/html/2602.03604v3" TargetMode="External"/><Relationship Id="rId71" Type="http://schemas.openxmlformats.org/officeDocument/2006/relationships/hyperlink" Target="https://www.emergentmind.com/topics/lejepa-epps-pulley-regularizer" TargetMode="External"/><Relationship Id="rId70" Type="http://schemas.openxmlformats.org/officeDocument/2006/relationships/hyperlink" Target="https://github.com/kreasof-ai/sigreg" TargetMode="External"/><Relationship Id="rId37" Type="http://schemas.openxmlformats.org/officeDocument/2006/relationships/image" Target="media/image38.png"/><Relationship Id="rId36" Type="http://schemas.openxmlformats.org/officeDocument/2006/relationships/image" Target="media/image12.png"/><Relationship Id="rId39" Type="http://schemas.openxmlformats.org/officeDocument/2006/relationships/image" Target="media/image9.png"/><Relationship Id="rId38" Type="http://schemas.openxmlformats.org/officeDocument/2006/relationships/image" Target="media/image10.png"/><Relationship Id="rId62" Type="http://schemas.openxmlformats.org/officeDocument/2006/relationships/hyperlink" Target="https://www.researchgate.net/publication/373310287_Self-Supervised_Learning_from_Images_with_a_Joint-Embedding_Predictive_Architecture" TargetMode="External"/><Relationship Id="rId61" Type="http://schemas.openxmlformats.org/officeDocument/2006/relationships/hyperlink" Target="https://elonlit.com/scrivings/the-annotated-jepa/" TargetMode="External"/><Relationship Id="rId20" Type="http://schemas.openxmlformats.org/officeDocument/2006/relationships/image" Target="media/image17.png"/><Relationship Id="rId64" Type="http://schemas.openxmlformats.org/officeDocument/2006/relationships/hyperlink" Target="https://www.alphaxiv.org/overview/2511.08544v3" TargetMode="External"/><Relationship Id="rId63" Type="http://schemas.openxmlformats.org/officeDocument/2006/relationships/hyperlink" Target="https://elonlit.com/" TargetMode="External"/><Relationship Id="rId22" Type="http://schemas.openxmlformats.org/officeDocument/2006/relationships/image" Target="media/image21.png"/><Relationship Id="rId66" Type="http://schemas.openxmlformats.org/officeDocument/2006/relationships/hyperlink" Target="https://arxiv.org/html/2603.19312v2" TargetMode="External"/><Relationship Id="rId21" Type="http://schemas.openxmlformats.org/officeDocument/2006/relationships/image" Target="media/image25.png"/><Relationship Id="rId65" Type="http://schemas.openxmlformats.org/officeDocument/2006/relationships/hyperlink" Target="https://arxiv.org/html/2511.08544v2" TargetMode="External"/><Relationship Id="rId24" Type="http://schemas.openxmlformats.org/officeDocument/2006/relationships/image" Target="media/image22.png"/><Relationship Id="rId68" Type="http://schemas.openxmlformats.org/officeDocument/2006/relationships/hyperlink" Target="https://arxiv.org/pdf/2603.05924" TargetMode="External"/><Relationship Id="rId23" Type="http://schemas.openxmlformats.org/officeDocument/2006/relationships/image" Target="media/image27.png"/><Relationship Id="rId67" Type="http://schemas.openxmlformats.org/officeDocument/2006/relationships/hyperlink" Target="https://www.researchgate.net/publication/401692064_Weak-SIGReg_Covariance_Regularization_for_Stable_Deep_Learning" TargetMode="External"/><Relationship Id="rId60" Type="http://schemas.openxmlformats.org/officeDocument/2006/relationships/hyperlink" Target="https://arxiv.org/html/2603.13227" TargetMode="External"/><Relationship Id="rId26" Type="http://schemas.openxmlformats.org/officeDocument/2006/relationships/image" Target="media/image37.png"/><Relationship Id="rId25" Type="http://schemas.openxmlformats.org/officeDocument/2006/relationships/image" Target="media/image23.png"/><Relationship Id="rId69" Type="http://schemas.openxmlformats.org/officeDocument/2006/relationships/hyperlink" Target="https://arxiv.org/html/2603.05924v1" TargetMode="External"/><Relationship Id="rId28" Type="http://schemas.openxmlformats.org/officeDocument/2006/relationships/image" Target="media/image8.png"/><Relationship Id="rId27" Type="http://schemas.openxmlformats.org/officeDocument/2006/relationships/image" Target="media/image4.png"/><Relationship Id="rId29" Type="http://schemas.openxmlformats.org/officeDocument/2006/relationships/image" Target="media/image3.png"/><Relationship Id="rId51" Type="http://schemas.openxmlformats.org/officeDocument/2006/relationships/hyperlink" Target="https://arxiv.org/abs/2511.08544" TargetMode="External"/><Relationship Id="rId50" Type="http://schemas.openxmlformats.org/officeDocument/2006/relationships/hyperlink" Target="https://www.reddit.com/r/MachineLearning/comments/1ovm4fd/r_lejepa_new_yann_lecun_paper/" TargetMode="External"/><Relationship Id="rId53" Type="http://schemas.openxmlformats.org/officeDocument/2006/relationships/hyperlink" Target="https://www.researchgate.net/publication/386885717_ConvNeXt-2U_A_3D_Deep_Learning-Based_Segmentation_Model_for_Unified_and_Automatic_Segmentation_of_Lungs_Normal_Liver_and_Tumors_in_Y-90_Radioembolization_Dosimetry" TargetMode="External"/><Relationship Id="rId52" Type="http://schemas.openxmlformats.org/officeDocument/2006/relationships/hyperlink" Target="https://arxiv.org/html/2502.08574v1" TargetMode="External"/><Relationship Id="rId11" Type="http://schemas.openxmlformats.org/officeDocument/2006/relationships/image" Target="media/image40.png"/><Relationship Id="rId55" Type="http://schemas.openxmlformats.org/officeDocument/2006/relationships/hyperlink" Target="https://arxiv.org/html/2412.00568v2" TargetMode="External"/><Relationship Id="rId10" Type="http://schemas.openxmlformats.org/officeDocument/2006/relationships/image" Target="media/image31.png"/><Relationship Id="rId54" Type="http://schemas.openxmlformats.org/officeDocument/2006/relationships/hyperlink" Target="https://ml4physicalsciences.github.io/2025/files/NeurIPS_ML4PS_2025_169.pdf" TargetMode="External"/><Relationship Id="rId13" Type="http://schemas.openxmlformats.org/officeDocument/2006/relationships/image" Target="media/image29.png"/><Relationship Id="rId57" Type="http://schemas.openxmlformats.org/officeDocument/2006/relationships/hyperlink" Target="https://flanusse.net/publications/" TargetMode="External"/><Relationship Id="rId12" Type="http://schemas.openxmlformats.org/officeDocument/2006/relationships/image" Target="media/image34.png"/><Relationship Id="rId56" Type="http://schemas.openxmlformats.org/officeDocument/2006/relationships/hyperlink" Target="https://polymathic-ai.org/the_well/datasets/active_matter/" TargetMode="External"/><Relationship Id="rId15" Type="http://schemas.openxmlformats.org/officeDocument/2006/relationships/image" Target="media/image33.png"/><Relationship Id="rId59" Type="http://schemas.openxmlformats.org/officeDocument/2006/relationships/hyperlink" Target="https://arxiv.org/html/2412.15212v1" TargetMode="External"/><Relationship Id="rId14" Type="http://schemas.openxmlformats.org/officeDocument/2006/relationships/image" Target="media/image42.png"/><Relationship Id="rId58" Type="http://schemas.openxmlformats.org/officeDocument/2006/relationships/hyperlink" Target="https://arxiv.org/html/2412.15212v2" TargetMode="External"/><Relationship Id="rId17" Type="http://schemas.openxmlformats.org/officeDocument/2006/relationships/image" Target="media/image13.png"/><Relationship Id="rId16" Type="http://schemas.openxmlformats.org/officeDocument/2006/relationships/image" Target="media/image39.png"/><Relationship Id="rId19" Type="http://schemas.openxmlformats.org/officeDocument/2006/relationships/image" Target="media/image15.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