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AAC" w:sz="18" w:space="6"/>
        </w:pBdr>
        <w:spacing w:after="60" w:before="1600"/>
      </w:pPr>
      <w:r>
        <w:rPr>
          <w:b/>
          <w:bCs/>
          <w:color w:val="2E5AAC"/>
          <w:sz w:val="28"/>
          <w:szCs w:val="28"/>
        </w:rPr>
        <w:t xml:space="preserve">Store Master Normalizer</w:t>
      </w:r>
    </w:p>
    <w:p>
      <w:pPr>
        <w:spacing w:after="80" w:before="200"/>
      </w:pPr>
      <w:r>
        <w:rPr>
          <w:b/>
          <w:bCs/>
          <w:sz w:val="52"/>
          <w:szCs w:val="52"/>
        </w:rPr>
        <w:t xml:space="preserve">High-Level Design (HLD)</w:t>
      </w:r>
    </w:p>
    <w:p>
      <w:pPr>
        <w:spacing w:after="600"/>
      </w:pPr>
      <w:r>
        <w:rPr>
          <w:color w:val="555555"/>
          <w:sz w:val="26"/>
          <w:szCs w:val="26"/>
        </w:rPr>
        <w:t xml:space="preserve">Components, responsibilities, and data flow</w:t>
      </w:r>
    </w:p>
    <w:p>
      <w:r>
        <w:rPr>
          <w:color w:val="777777"/>
          <w:sz w:val="20"/>
          <w:szCs w:val="20"/>
        </w:rPr>
        <w:t xml:space="preserve">Project: Store Master Normalizer  |  Engine v1.0.0  |  Handover documentation</w:t>
      </w:r>
    </w:p>
    <w:p>
      <w:r>
        <w:rPr>
          <w:color w:val="777777"/>
          <w:sz w:val="20"/>
          <w:szCs w:val="20"/>
        </w:rPr>
        <w:t xml:space="preserve">Generated 2026-06-03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The system has two layers: a pure-Python reconciliation </w:t>
      </w:r>
      <w:r>
        <w:rPr>
          <w:b/>
          <w:bCs/>
        </w:rPr>
        <w:t xml:space="preserve">engine</w:t>
      </w:r>
      <w:r>
        <w:t xml:space="preserve">, and a thin </w:t>
      </w:r>
      <w:r>
        <w:rPr>
          <w:b/>
          <w:bCs/>
        </w:rPr>
        <w:t xml:space="preserve">web</w:t>
      </w:r>
      <w:r>
        <w:t xml:space="preserve"> layer (FastAPI) that wraps it with a browser UI. The engine can also be driven from the command line. Keeping the engine independent of the UI is a deliberate choice: it makes the engine testable and lets an independent verifier re-run the rules without touching the UI.</w:t>
      </w:r>
    </w:p>
    <w:p>
      <w:pPr>
        <w:pStyle w:val="Heading1"/>
      </w:pPr>
      <w:r>
        <w:t xml:space="preserve">2. Major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reconciliation logic. No UI dependency. Importable as a library and runnable via CLI.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app: upload handling, request orchestration, HTML rendering, file download.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brands.json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Per-brand configuration and mapping rules. Read on every run, so edits take effect with no restart.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Independent verifier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Re-derives the expected output from rules + source + master and compares it to the produced output.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Deployment assets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Dockerfile and Procfile for Railway; requirements.txt for dependencies.</w:t>
            </w:r>
          </w:p>
        </w:tc>
      </w:tr>
    </w:tbl>
    <w:p>
      <w:pPr>
        <w:pStyle w:val="Heading1"/>
      </w:pPr>
      <w:r>
        <w:t xml:space="preserve">3. Engine sub-modules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Loads brands.json; defines the master schema (MASTER_FIELDS) and the status columns.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reference_reader.py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Turns each brand's JSON mapping into typed Rule objects.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source_loader.py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Reads .xlsx and .xlsb source sheets into an in-memory SourceSheet.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mapper.py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Applies rules to each source row, including derived values and transforms.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reconciler.py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Matches source rows to the master and classifies them; inactivation pass; status columns.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brand_overrides.py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Per-brand divergence-warning configuration.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remarks.py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Templates for the Remarks text the engine writes.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 parsing / ISO normalisation.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verifier.py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Independent re-derivation and comparison (PASS / FAIL).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Command-line entry point and the Excel writers.</w:t>
            </w:r>
          </w:p>
        </w:tc>
      </w:tr>
    </w:tbl>
    <w:p>
      <w:pPr>
        <w:pStyle w:val="Heading1"/>
      </w:pPr>
      <w:r>
        <w:t xml:space="preserve">4. Data flow</w:t>
      </w:r>
    </w:p>
    <w:p>
      <w:pPr>
        <w:spacing w:after="120"/>
      </w:pPr>
      <w:r>
        <w:t xml:space="preserve">A single conversion run flows through the system as follows: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operator selects a brand and uploads the source workbook and the backend master (web UI), or passes them as CLI arguments.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reference_reader loads the brand's mapping rules from brands.json.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source_loader reads the chosen source sheet into a SourceSheet.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mapper applies the rules to every source row, producing rows in the master's shape.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reconciler matches each mapped row to the master and classifies it (refresh, migrate, reactivate, new), then runs the inactivation pass (closed / bad email) and computes the three status columns.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cli writers produce the Updated Master and Change Report .xlsx files.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Optionally, the verifier re-derives the expected cells independently and returns PASS or FAIL.</w:t>
      </w:r>
    </w:p>
    <w:p>
      <w:pPr>
        <w:pStyle w:val="Heading1"/>
      </w:pPr>
      <w: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Language / 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+ Starlette, served by uvicorn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Templating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Jinja2 (server-rendered HTML)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Spreadsheet I/O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openpyxl (.xlsx), pyxlsb (.xlsb read)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Packaging / 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Docker (Railway), Procfile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Python unittest / pytest</w:t>
            </w:r>
          </w:p>
        </w:tc>
      </w:tr>
    </w:tbl>
    <w:p>
      <w:pPr>
        <w:pStyle w:val="Heading1"/>
      </w:pPr>
      <w:r>
        <w:t xml:space="preserve">6. Deployment topology</w:t>
      </w:r>
    </w:p>
    <w:p>
      <w:pPr>
        <w:spacing w:after="120"/>
      </w:pPr>
      <w:r>
        <w:t xml:space="preserve">Two runtime modes share the same code: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Local</w:t>
      </w:r>
      <w:r>
        <w:t xml:space="preserve"> — the operator runs </w:t>
      </w:r>
      <w:r>
        <w:rPr>
          <w:rFonts w:ascii="Consolas" w:cs="Consolas" w:eastAsia="Consolas" w:hAnsi="Consolas"/>
          <w:sz w:val="20"/>
          <w:szCs w:val="20"/>
        </w:rPr>
        <w:t xml:space="preserve">python -m web.run</w:t>
      </w:r>
      <w:r>
        <w:t xml:space="preserve">, which starts uvicorn on 127.0.0.1:8000 and opens the browser. All processing is local; no outbound traffic.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Railway (hosted)</w:t>
      </w:r>
      <w:r>
        <w:t xml:space="preserve"> — the repo's Dockerfile builds a container that serves </w:t>
      </w:r>
      <w:r>
        <w:rPr>
          <w:rFonts w:ascii="Consolas" w:cs="Consolas" w:eastAsia="Consolas" w:hAnsi="Consolas"/>
          <w:sz w:val="20"/>
          <w:szCs w:val="20"/>
        </w:rPr>
        <w:t xml:space="preserve">uvicorn web.app:app</w:t>
      </w:r>
      <w:r>
        <w:t xml:space="preserve"> on the platform-provided $PORT, giving a shared URL for others to use.</w:t>
      </w:r>
    </w:p>
    <w:p>
      <w:pPr>
        <w:pStyle w:val="Heading1"/>
      </w:pPr>
      <w:r>
        <w:t xml:space="preserve">7. Design principles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Reference-driven</w:t>
      </w:r>
      <w:r>
        <w:t xml:space="preserve"> — mapping lives in brands.json (owned like config), not hard-coded; edits apply on the next run with no restart.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Engine / UI separation</w:t>
      </w:r>
      <w:r>
        <w:t xml:space="preserve"> — the engine has no UI dependency, enabling CLI use and independent verification.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Independent verification</w:t>
      </w:r>
      <w:r>
        <w:t xml:space="preserve"> — the verifier re-derives results from first principles, so an engine bug is unlikely to pass unnoticed.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Coerce-and-compare</w:t>
      </w:r>
      <w:r>
        <w:t xml:space="preserve"> — cosmetic differences (casing, number/string, date formats, underscores) are ignored when deciding whether a value really changed.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Config as data</w:t>
      </w:r>
      <w:r>
        <w:t xml:space="preserve"> — adding a brand or changing a mapping is a JSON edit, not a code change.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Store Master Normalizer — High-Level Design (HLD)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2E5AA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High-Level Design (HLD)</dc:title>
  <dc:creator>Store Master Normalizer</dc:creator>
  <cp:lastModifiedBy>Un-named</cp:lastModifiedBy>
  <cp:revision>1</cp:revision>
  <dcterms:created xsi:type="dcterms:W3CDTF">2026-06-03T07:45:44.178Z</dcterms:created>
  <dcterms:modified xsi:type="dcterms:W3CDTF">2026-06-03T07:45:44.178Z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