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8" w:space="6"/>
        </w:pBdr>
        <w:spacing w:after="60" w:before="1600"/>
      </w:pPr>
      <w:r>
        <w:rPr>
          <w:b/>
          <w:bCs/>
          <w:color w:val="2E5AAC"/>
          <w:sz w:val="28"/>
          <w:szCs w:val="28"/>
        </w:rPr>
        <w:t xml:space="preserve">Store Master Normalizer</w:t>
      </w:r>
    </w:p>
    <w:p>
      <w:pPr>
        <w:spacing w:after="80" w:before="200"/>
      </w:pPr>
      <w:r>
        <w:rPr>
          <w:b/>
          <w:bCs/>
          <w:sz w:val="52"/>
          <w:szCs w:val="52"/>
        </w:rPr>
        <w:t xml:space="preserve">Low-Level Design (LLD)</w:t>
      </w:r>
    </w:p>
    <w:p>
      <w:pPr>
        <w:spacing w:after="600"/>
      </w:pPr>
      <w:r>
        <w:rPr>
          <w:color w:val="555555"/>
          <w:sz w:val="26"/>
          <w:szCs w:val="26"/>
        </w:rPr>
        <w:t xml:space="preserve">Module internals, data model, rules, and the reconciliation cascade</w:t>
      </w:r>
    </w:p>
    <w:p>
      <w:r>
        <w:rPr>
          <w:color w:val="777777"/>
          <w:sz w:val="20"/>
          <w:szCs w:val="20"/>
        </w:rPr>
        <w:t xml:space="preserve">Project: Store Master Normalizer  |  Engine v1.0.0  |  Handover documentation</w:t>
      </w:r>
    </w:p>
    <w:p>
      <w:r>
        <w:rPr>
          <w:color w:val="777777"/>
          <w:sz w:val="20"/>
          <w:szCs w:val="20"/>
        </w:rPr>
        <w:t xml:space="preserve">Generated 2026-06-03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(module)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Shape / key fields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SourceSheet (source_loader)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columns: [(index, header)], rows: [{index: value}], name_to_indices: {header: [index]}. Methods: indices_for(name), column_index(name).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(reference_reader)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target_field, source_type, source_value, transform, notes.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ReconcileResult (reconciler)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updated_master, changes, summary, warnings, matched/unmatched/orphan counts, in_scope_indices, row_run_status.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ChangeRecord (reconciler)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status, store_id, field_changed, old_value, new_value, notes.</w:t>
            </w:r>
          </w:p>
        </w:tc>
      </w:tr>
    </w:tbl>
    <w:p>
      <w:pPr>
        <w:pStyle w:val="Heading1"/>
      </w:pPr>
      <w:r>
        <w:t xml:space="preserve">2. Master schema</w:t>
      </w:r>
    </w:p>
    <w:p>
      <w:pPr>
        <w:spacing w:after="120"/>
      </w:pPr>
      <w:r>
        <w:t xml:space="preserve">MASTER_FIELDS (engine/brands.py) defines the output column order: a 44-column SharePoint-aligned schema with </w:t>
      </w:r>
      <w:r>
        <w:rPr>
          <w:b/>
          <w:bCs/>
        </w:rPr>
        <w:t xml:space="preserve">ID</w:t>
      </w:r>
      <w:r>
        <w:t xml:space="preserve"> at position 1 and </w:t>
      </w:r>
      <w:r>
        <w:rPr>
          <w:b/>
          <w:bCs/>
        </w:rPr>
        <w:t xml:space="preserve">Title</w:t>
      </w:r>
      <w:r>
        <w:t xml:space="preserve"> at position 44, followed by three engine-derived status columns at positions 45–47 (Data Modified, Deactivated Stores, Reactivated Stores). STATUS_COLUMNS names those three so the reconciler and writers agree on order.</w:t>
      </w:r>
    </w:p>
    <w:p>
      <w:pPr>
        <w:pStyle w:val="Heading1"/>
      </w:pPr>
      <w:r>
        <w:t xml:space="preserve">3. Rule types</w:t>
      </w:r>
    </w:p>
    <w:p>
      <w:pPr>
        <w:spacing w:after="120"/>
      </w:pPr>
      <w:r>
        <w:t xml:space="preserve">Each mapping entry in brands.json is one Rule with a source_type. The recognised types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source_type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the value from the named source column (with duplicate-name resolution by anchor adjacency).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CONSTANT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a fixed value (source_value) on every row.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 blank — but only overwrite the master with blank when the master is itself already empty; otherwise the curated master value is preserved.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 the value (see derived identifiers below).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PRESERVE_FROM_MASTER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keep the existing master value; the engine does not write this field.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ENGINE_PRESERVE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runtime semantics as PRESERVE_FROM_MASTER; used for the SharePoint-managed ID column and kept as a distinct tag for clarity.</w:t>
            </w:r>
          </w:p>
        </w:tc>
      </w:tr>
    </w:tbl>
    <w:p>
      <w:pPr>
        <w:pStyle w:val="Heading3"/>
      </w:pPr>
      <w:r>
        <w:t xml:space="preserve">Derived identifiers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ZONE_FROM_REGION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 a region to the 4-char Store Zone code: SOUTH→SOUT, NORTH→NRTH, EAST→EAST, WEST→WEST.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PINCODE_FROM_ADDRESS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Extracts the last 6-digit run from the address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TITLE_FROM_STORE_ID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mirrors Store Id on every engine-written row.</w:t>
            </w:r>
          </w:p>
        </w:tc>
      </w:tr>
    </w:tbl>
    <w:p>
      <w:pPr>
        <w:spacing w:after="120"/>
      </w:pPr>
      <w:r>
        <w:t xml:space="preserve">Region vs Store Zone: the </w:t>
      </w:r>
      <w:r>
        <w:rPr>
          <w:b/>
          <w:bCs/>
        </w:rPr>
        <w:t xml:space="preserve">Region</w:t>
      </w:r>
      <w:r>
        <w:t xml:space="preserve"> column is written as the full uppercase word (SOUTH / NORTH / EAST / WEST) via mapper.region_full_name, while </w:t>
      </w:r>
      <w:r>
        <w:rPr>
          <w:b/>
          <w:bCs/>
        </w:rPr>
        <w:t xml:space="preserve">Store Zone</w:t>
      </w:r>
      <w:r>
        <w:t xml:space="preserve"> keeps the 4-character code. Both derive from whichever of the two the source provides.</w:t>
      </w:r>
    </w:p>
    <w:p>
      <w:pPr>
        <w:pStyle w:val="Heading1"/>
      </w:pPr>
      <w:r>
        <w:t xml:space="preserve">4. Transforms</w:t>
      </w:r>
    </w:p>
    <w:p>
      <w:pPr>
        <w:spacing w:after="120"/>
      </w:pPr>
      <w:r>
        <w:t xml:space="preserve">A rule may carry a transform applied to the mapped value (case-insensitive): upper, lower, title, strip, int, isodate (alias iso_date), phoneclean (alias phone_clean). In addition, Isactive, Dailychecklist access, and Region are force-uppercased on output regardless of the rule's transform; Store Opening Date is coerced from Excel serial numbers to real dates; Pincode is coerced to int.</w:t>
      </w:r>
    </w:p>
    <w:p>
      <w:pPr>
        <w:pStyle w:val="Heading1"/>
      </w:pPr>
      <w:r>
        <w:t xml:space="preserve">5. Source loading and anchor adjacency</w:t>
      </w:r>
    </w:p>
    <w:p>
      <w:pPr>
        <w:spacing w:after="120"/>
      </w:pPr>
      <w:r>
        <w:t xml:space="preserve">source_loader reads the chosen sheet starting at the given header row (1-indexed). Reading stops at the first fully-blank row after the header, because brand workbooks often append summary blocks below the data. Header names are kept verbatim (trailing spaces preserved) because mappings may reference them that way.</w:t>
      </w:r>
    </w:p>
    <w:p>
      <w:pPr>
        <w:spacing w:after="120"/>
      </w:pPr>
      <w:r>
        <w:t xml:space="preserve">When a source column name appears more than once, mapper resolves it by </w:t>
      </w:r>
      <w:r>
        <w:rPr>
          <w:b/>
          <w:bCs/>
        </w:rPr>
        <w:t xml:space="preserve">anchor adjacency</w:t>
      </w:r>
      <w:r>
        <w:t xml:space="preserve">: it picks the smallest column index strictly greater than the current anchor, where the anchor is the index of the most recently resolved unique-name COLUMN rule. Ambiguous resolutions do not advance the anchor, which lets a mapping jump backwards in column order without chasing past the next unique anchor.</w:t>
      </w:r>
    </w:p>
    <w:p>
      <w:pPr>
        <w:pStyle w:val="Heading1"/>
      </w:pPr>
      <w:r>
        <w:t xml:space="preserve">6. Reconciliation cascade</w:t>
      </w:r>
    </w:p>
    <w:p>
      <w:pPr>
        <w:spacing w:after="120"/>
      </w:pPr>
      <w:r>
        <w:t xml:space="preserve">reconcile() partitions the master by brand (only rows where scope_column == scope_value are in scope) and, per source row, runs a four-step cascade plus an orphan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6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Condition and 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Store Id hits master Store Id / Retek Code / Legacy Code for the same brand, and that row is active. Source-mapped fields overwrite unconditionally; existing Remark preserved.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Store Id hits a comma-split token in master Old Sapcode. Same refresh; Remark overwritten with the migration template.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REACTIVATED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Store Id hits the master keys but that row is inactive. Flip Isactive to YES, refresh fields, Remark set to the reactivation template. No new row.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match. Create a new row with the brand's CONSTANT block applied and Isactive=YES.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ORPHAN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Store Id collides with a master row in a DIFFERENT brand. Flagged ORPHAN; the master row is left untouched.</w:t>
            </w:r>
          </w:p>
        </w:tc>
      </w:tr>
    </w:tbl>
    <w:p>
      <w:pPr>
        <w:pStyle w:val="Heading1"/>
      </w:pPr>
      <w:r>
        <w:t xml:space="preserve">7. Inactivation pass</w:t>
      </w:r>
    </w:p>
    <w:p>
      <w:pPr>
        <w:spacing w:after="120"/>
      </w:pPr>
      <w:r>
        <w:t xml:space="preserve">apply_inactivation_pass runs after the cascade, over every active in-scope row: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Missing from source</w:t>
      </w:r>
      <w:r>
        <w:t xml:space="preserve"> — an in-scope active store not present in this month's source is set Isactive=NO (status CLOSED) with the 'not present … marked Inactive' remark.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Bad email domain</w:t>
      </w:r>
      <w:r>
        <w:t xml:space="preserve"> — a store whose Store Email Id domain is not in the approved list is inactivated (status INACTIVATED_BAD_EMAIL). Approved domains: abfrl.adityabirla.com, ablbl.adityabirla.com, sabyasachi.com, shantanunikhil.com, houseofmasaba.com.</w:t>
      </w:r>
    </w:p>
    <w:p>
      <w:pPr>
        <w:spacing w:after="120"/>
      </w:pPr>
      <w:r>
        <w:t xml:space="preserve">A pre-run sweep (apply_isactive_daily_sweep) also repairs legacy rows where Isactive and Dailychecklist access disagree, forcing Dailychecklist access to match Isactive.</w:t>
      </w:r>
    </w:p>
    <w:p>
      <w:pPr>
        <w:pStyle w:val="Heading1"/>
      </w:pPr>
      <w:r>
        <w:t xml:space="preserve">8. Status columns</w:t>
      </w:r>
    </w:p>
    <w:p>
      <w:pPr>
        <w:spacing w:after="120"/>
      </w:pPr>
      <w:r>
        <w:t xml:space="preserve">apply_status_columns fills the three engine-derived columns after the cascade and inactivation pass, using each row's run flags (new / changed / reactivated / deactivated) and final Isactive: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Modified</w:t>
      </w:r>
      <w:r>
        <w:t xml:space="preserve"> — 'New' if created this run; else 'No' if deactivated this run (even if other fields changed); else 'Yes' if any field changed; else 'No'.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Deactivated Stores</w:t>
      </w:r>
      <w:r>
        <w:t xml:space="preserve"> — 'NO' if currently active, else 'YES' (standing state).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Reactivated Stores</w:t>
      </w:r>
      <w:r>
        <w:t xml:space="preserve"> — 'NO' while inactive; 'YES' if reactivated this run; 'NO' for new/just-deactivated rows; otherwise the previous standing value is carried forward.</w:t>
      </w:r>
    </w:p>
    <w:p>
      <w:pPr>
        <w:pStyle w:val="Heading1"/>
      </w:pPr>
      <w:r>
        <w:t xml:space="preserve">9. Canonicalisation</w:t>
      </w:r>
    </w:p>
    <w:p>
      <w:pPr>
        <w:spacing w:after="120"/>
      </w:pPr>
      <w:r>
        <w:t xml:space="preserve">_canonical (reconciler) collapses cosmetic differences before comparing two values: numeric strings become numbers ('27000' == 27000), date-shaped strings become ISO dates ('Jul-17' == 2017-07-01), and plain strings are stripped, underscore-to-space, and casefolded ('Uttar_Pradesh' == 'Uttar Pradesh'). Output always writes the source value verbatim; the canonicaliser only decides whether a write is necessary. _is_active treats no/n/false/inactive/deactivated, 0, and False as inactive.</w:t>
      </w:r>
    </w:p>
    <w:p>
      <w:pPr>
        <w:pStyle w:val="Heading1"/>
      </w:pPr>
      <w:r>
        <w:t xml:space="preserve">10. Remarks</w:t>
      </w:r>
    </w:p>
    <w:p>
      <w:pPr>
        <w:spacing w:after="120"/>
      </w:pPr>
      <w:r>
        <w:t xml:space="preserve">remarks.py holds the templates the engine writes to the Remarks column: new ('Store newly created on {monthLong}'), migrated ('Migrated from old SAP code {oldCode} on {monthLong}'), reactivated ('Reactivated on {monthLong}'), inactive-missing, and inactive-bad-email. build_remark renders them with the run's month label and brand.</w:t>
      </w:r>
    </w:p>
    <w:p>
      <w:pPr>
        <w:pStyle w:val="Heading1"/>
      </w:pPr>
      <w:r>
        <w:t xml:space="preserve">11. Outputs and verification</w:t>
      </w:r>
    </w:p>
    <w:p>
      <w:pPr>
        <w:spacing w:after="120"/>
      </w:pPr>
      <w:r>
        <w:t xml:space="preserve">cli writers emit the Updated Master (sheet 'Master', columns in MASTER_FIELDS order) and the Change Report (Summary + Changes sheets). Engine status codes map to report labels: UPDATED→Refresh, CODE_CHANGED→Migrated, REACTIVATED→Reactivated, NEW→New, CLOSED→Inactivated-missing, INACTIVATED_BAD_EMAIL→Inactivated-bad-email, ORPHAN→Orphan.</w:t>
      </w:r>
    </w:p>
    <w:p>
      <w:pPr>
        <w:spacing w:after="120"/>
      </w:pPr>
      <w:r>
        <w:t xml:space="preserve">verify_conversion re-runs the mapping with the same engine code, indexes mapped rows and master rows by canonical Store Id, loads the produced output, and compares cell by cell, producing a VerificationReport with a PASS/FAIL verdict and any mismatches.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Store Master Normalizer — Low-Level Design (LLD)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Low-Level Design (LLD)</dc:title>
  <dc:creator>Store Master Normalizer</dc:creator>
  <cp:lastModifiedBy>Un-named</cp:lastModifiedBy>
  <cp:revision>1</cp:revision>
  <dcterms:created xsi:type="dcterms:W3CDTF">2026-06-03T07:45:44.182Z</dcterms:created>
  <dcterms:modified xsi:type="dcterms:W3CDTF">2026-06-03T07:45:44.182Z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