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26" w:type="dxa"/>
        <w:tblLook w:val="04A0" w:firstRow="1" w:lastRow="0" w:firstColumn="1" w:lastColumn="0" w:noHBand="0" w:noVBand="1"/>
      </w:tblPr>
      <w:tblGrid>
        <w:gridCol w:w="398"/>
        <w:gridCol w:w="4314"/>
        <w:gridCol w:w="4314"/>
      </w:tblGrid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u w:val="single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u w:val="single"/>
                <w:lang w:eastAsia="en-IN" w:bidi="hi-IN"/>
              </w:rPr>
            </w:pPr>
            <w:r w:rsidRPr="005816EC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u w:val="single"/>
                <w:lang w:eastAsia="en-IN" w:bidi="hi-IN"/>
              </w:rPr>
              <w:t>Project Insight Report – Crime Data Analysis</w:t>
            </w: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Default="005816EC" w:rsidP="005816EC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bCs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 w:bidi="hi-IN"/>
              </w:rPr>
              <w:t xml:space="preserve">                                                                                                  </w:t>
            </w:r>
            <w:r w:rsidRPr="005816EC">
              <w:rPr>
                <w:rFonts w:ascii="Calibri" w:eastAsia="Times New Roman" w:hAnsi="Calibri" w:cs="Calibri"/>
                <w:b/>
                <w:bCs/>
                <w:color w:val="000000"/>
                <w:lang w:eastAsia="en-IN" w:bidi="hi-IN"/>
              </w:rPr>
              <w:t xml:space="preserve">By: </w:t>
            </w:r>
            <w:proofErr w:type="spellStart"/>
            <w:r w:rsidR="0078051E">
              <w:rPr>
                <w:rFonts w:ascii="Calibri" w:eastAsia="Times New Roman" w:hAnsi="Calibri" w:cs="Calibri"/>
                <w:b/>
                <w:bCs/>
                <w:color w:val="000000"/>
                <w:lang w:eastAsia="en-IN" w:bidi="hi-IN"/>
              </w:rPr>
              <w:t>abhinesh</w:t>
            </w:r>
            <w:proofErr w:type="spellEnd"/>
            <w:r w:rsidR="0078051E">
              <w:rPr>
                <w:rFonts w:ascii="Calibri" w:eastAsia="Times New Roman" w:hAnsi="Calibri" w:cs="Calibri"/>
                <w:b/>
                <w:bCs/>
                <w:color w:val="000000"/>
                <w:lang w:eastAsia="en-IN" w:bidi="hi-IN"/>
              </w:rPr>
              <w:t xml:space="preserve"> </w:t>
            </w:r>
            <w:proofErr w:type="spellStart"/>
            <w:r w:rsidR="0078051E">
              <w:rPr>
                <w:rFonts w:ascii="Calibri" w:eastAsia="Times New Roman" w:hAnsi="Calibri" w:cs="Calibri"/>
                <w:b/>
                <w:bCs/>
                <w:color w:val="000000"/>
                <w:lang w:eastAsia="en-IN" w:bidi="hi-IN"/>
              </w:rPr>
              <w:t>kumar</w:t>
            </w:r>
            <w:proofErr w:type="spellEnd"/>
            <w:r w:rsidR="0078051E">
              <w:rPr>
                <w:rFonts w:ascii="Calibri" w:eastAsia="Times New Roman" w:hAnsi="Calibri" w:cs="Calibri"/>
                <w:b/>
                <w:bCs/>
                <w:color w:val="000000"/>
                <w:lang w:eastAsia="en-IN" w:bidi="hi-IN"/>
              </w:rPr>
              <w:t xml:space="preserve"> </w:t>
            </w:r>
            <w:proofErr w:type="spellStart"/>
            <w:r w:rsidR="0078051E">
              <w:rPr>
                <w:rFonts w:ascii="Calibri" w:eastAsia="Times New Roman" w:hAnsi="Calibri" w:cs="Calibri"/>
                <w:b/>
                <w:bCs/>
                <w:color w:val="000000"/>
                <w:lang w:eastAsia="en-IN" w:bidi="hi-IN"/>
              </w:rPr>
              <w:t>pandey</w:t>
            </w:r>
            <w:proofErr w:type="spellEnd"/>
          </w:p>
          <w:p w:rsidR="005816EC" w:rsidRPr="005816EC" w:rsidRDefault="005816EC" w:rsidP="005816EC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bCs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 w:bidi="hi-IN"/>
              </w:rPr>
              <w:t xml:space="preserve">                                                                                                  To</w:t>
            </w:r>
            <w:r w:rsidR="0078051E">
              <w:rPr>
                <w:rFonts w:ascii="Calibri" w:eastAsia="Times New Roman" w:hAnsi="Calibri" w:cs="Calibri"/>
                <w:b/>
                <w:bCs/>
                <w:color w:val="000000"/>
                <w:lang w:eastAsia="en-IN" w:bidi="hi-IN"/>
              </w:rPr>
              <w:t xml:space="preserve">: </w:t>
            </w:r>
            <w:proofErr w:type="spellStart"/>
            <w:r w:rsidR="0078051E">
              <w:rPr>
                <w:rFonts w:ascii="Calibri" w:eastAsia="Times New Roman" w:hAnsi="Calibri" w:cs="Calibri"/>
                <w:b/>
                <w:bCs/>
                <w:color w:val="000000"/>
                <w:lang w:eastAsia="en-IN" w:bidi="hi-IN"/>
              </w:rPr>
              <w:t>Mr.m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 w:bidi="hi-IN"/>
              </w:rPr>
              <w:t>onesh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 w:bidi="hi-IN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 w:bidi="hi-IN"/>
              </w:rPr>
              <w:t>kapoor</w:t>
            </w:r>
            <w:proofErr w:type="spellEnd"/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u w:val="single"/>
                <w:lang w:eastAsia="en-IN" w:bidi="hi-IN"/>
              </w:rPr>
            </w:pPr>
            <w:r w:rsidRPr="005816EC">
              <w:rPr>
                <w:rFonts w:ascii="Segoe UI Symbol" w:eastAsia="Times New Roman" w:hAnsi="Segoe UI Symbol" w:cs="Segoe UI Symbol"/>
                <w:b/>
                <w:bCs/>
                <w:color w:val="000000"/>
                <w:sz w:val="28"/>
                <w:szCs w:val="28"/>
                <w:u w:val="single"/>
                <w:lang w:eastAsia="en-IN" w:bidi="hi-IN"/>
              </w:rPr>
              <w:t>🔹</w:t>
            </w:r>
            <w:r w:rsidRPr="005816E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u w:val="single"/>
                <w:lang w:eastAsia="en-IN" w:bidi="hi-IN"/>
              </w:rPr>
              <w:t xml:space="preserve"> Dataset Overview</w:t>
            </w: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1.</w:t>
            </w:r>
            <w:r w:rsidRPr="005816EC">
              <w:rPr>
                <w:rFonts w:ascii="Calibri" w:eastAsia="Times New Roman" w:hAnsi="Calibri" w:cs="Calibri"/>
                <w:color w:val="000000"/>
                <w:lang w:eastAsia="en-IN" w:bidi="hi-IN"/>
              </w:rPr>
              <w:t>Total Records: 9,385 rows, 34 columns</w:t>
            </w: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2.</w:t>
            </w:r>
            <w:r w:rsidRPr="005816EC">
              <w:rPr>
                <w:rFonts w:ascii="Calibri" w:eastAsia="Times New Roman" w:hAnsi="Calibri" w:cs="Calibri"/>
                <w:color w:val="000000"/>
                <w:lang w:eastAsia="en-IN" w:bidi="hi-IN"/>
              </w:rPr>
              <w:t>Coverage: 2001–2013, across 35 States/UTs and 824 districts</w:t>
            </w: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3.</w:t>
            </w:r>
            <w:r w:rsidRPr="005816EC">
              <w:rPr>
                <w:rFonts w:ascii="Calibri" w:eastAsia="Times New Roman" w:hAnsi="Calibri" w:cs="Calibri"/>
                <w:color w:val="000000"/>
                <w:lang w:eastAsia="en-IN" w:bidi="hi-IN"/>
              </w:rPr>
              <w:t>Data Quality: No missing values, well-structured and cleaned</w:t>
            </w: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u w:val="single"/>
                <w:lang w:eastAsia="en-IN" w:bidi="hi-IN"/>
              </w:rPr>
            </w:pPr>
            <w:r w:rsidRPr="005816EC">
              <w:rPr>
                <w:rFonts w:ascii="Segoe UI Symbol" w:eastAsia="Times New Roman" w:hAnsi="Segoe UI Symbol" w:cs="Segoe UI Symbol"/>
                <w:b/>
                <w:bCs/>
                <w:color w:val="000000"/>
                <w:sz w:val="28"/>
                <w:szCs w:val="28"/>
                <w:u w:val="single"/>
                <w:lang w:eastAsia="en-IN" w:bidi="hi-IN"/>
              </w:rPr>
              <w:t>🔹</w:t>
            </w:r>
            <w:r w:rsidRPr="005816E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u w:val="single"/>
                <w:lang w:eastAsia="en-IN" w:bidi="hi-IN"/>
              </w:rPr>
              <w:t xml:space="preserve"> Key Findings</w:t>
            </w: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 w:bidi="hi-IN"/>
              </w:rPr>
            </w:pPr>
            <w:r w:rsidRPr="005816EC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 w:bidi="hi-IN"/>
              </w:rPr>
              <w:t>Crime Trends:</w:t>
            </w: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1.</w:t>
            </w:r>
            <w:r w:rsidRPr="005816EC">
              <w:rPr>
                <w:rFonts w:ascii="Calibri" w:eastAsia="Times New Roman" w:hAnsi="Calibri" w:cs="Calibri"/>
                <w:color w:val="000000"/>
                <w:lang w:eastAsia="en-IN" w:bidi="hi-IN"/>
              </w:rPr>
              <w:t>Consistent rise in most crimes over the years, especially murder, kidnapping, and rape cases.</w:t>
            </w:r>
          </w:p>
        </w:tc>
        <w:bookmarkStart w:id="0" w:name="_GoBack"/>
        <w:bookmarkEnd w:id="0"/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2.</w:t>
            </w:r>
            <w:r w:rsidRPr="005816EC">
              <w:rPr>
                <w:rFonts w:ascii="Calibri" w:eastAsia="Times New Roman" w:hAnsi="Calibri" w:cs="Calibri"/>
                <w:color w:val="000000"/>
                <w:lang w:eastAsia="en-IN" w:bidi="hi-IN"/>
              </w:rPr>
              <w:t>Peak crime activity observed closer to 2013.</w:t>
            </w: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 w:bidi="hi-IN"/>
              </w:rPr>
            </w:pPr>
            <w:r w:rsidRPr="005816EC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 w:bidi="hi-IN"/>
              </w:rPr>
              <w:t>High-Crime States:</w:t>
            </w: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1.</w:t>
            </w:r>
            <w:r w:rsidRPr="005816EC">
              <w:rPr>
                <w:rFonts w:ascii="Calibri" w:eastAsia="Times New Roman" w:hAnsi="Calibri" w:cs="Calibri"/>
                <w:color w:val="000000"/>
                <w:lang w:eastAsia="en-IN" w:bidi="hi-IN"/>
              </w:rPr>
              <w:t>Uttar Pradesh leads in total crimes reported across categories.</w:t>
            </w: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2.</w:t>
            </w:r>
            <w:r w:rsidRPr="005816EC">
              <w:rPr>
                <w:rFonts w:ascii="Calibri" w:eastAsia="Times New Roman" w:hAnsi="Calibri" w:cs="Calibri"/>
                <w:color w:val="000000"/>
                <w:lang w:eastAsia="en-IN" w:bidi="hi-IN"/>
              </w:rPr>
              <w:t>Other states with significant figures: Maharashtra, Bihar, and Madhya Pradesh.</w:t>
            </w: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 w:bidi="hi-IN"/>
              </w:rPr>
            </w:pPr>
            <w:r w:rsidRPr="005816EC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 w:bidi="hi-IN"/>
              </w:rPr>
              <w:t>Major Crime Categories (average per district per year):</w:t>
            </w: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1.</w:t>
            </w:r>
            <w:r w:rsidRPr="005816EC">
              <w:rPr>
                <w:rFonts w:ascii="Calibri" w:eastAsia="Times New Roman" w:hAnsi="Calibri" w:cs="Calibri"/>
                <w:color w:val="000000"/>
                <w:lang w:eastAsia="en-IN" w:bidi="hi-IN"/>
              </w:rPr>
              <w:t>Murder: ~46 cases</w:t>
            </w: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2.</w:t>
            </w:r>
            <w:r w:rsidRPr="005816EC">
              <w:rPr>
                <w:rFonts w:ascii="Calibri" w:eastAsia="Times New Roman" w:hAnsi="Calibri" w:cs="Calibri"/>
                <w:color w:val="000000"/>
                <w:lang w:eastAsia="en-IN" w:bidi="hi-IN"/>
              </w:rPr>
              <w:t>Attempt to Murder: ~41 cases</w:t>
            </w: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3.</w:t>
            </w:r>
            <w:r w:rsidRPr="005816EC">
              <w:rPr>
                <w:rFonts w:ascii="Calibri" w:eastAsia="Times New Roman" w:hAnsi="Calibri" w:cs="Calibri"/>
                <w:color w:val="000000"/>
                <w:lang w:eastAsia="en-IN" w:bidi="hi-IN"/>
              </w:rPr>
              <w:t>Rape: ~29 cases</w:t>
            </w: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4.</w:t>
            </w:r>
            <w:r w:rsidRPr="005816EC">
              <w:rPr>
                <w:rFonts w:ascii="Calibri" w:eastAsia="Times New Roman" w:hAnsi="Calibri" w:cs="Calibri"/>
                <w:color w:val="000000"/>
                <w:lang w:eastAsia="en-IN" w:bidi="hi-IN"/>
              </w:rPr>
              <w:t>Kidnapping &amp; Abduction: ~45 cases</w:t>
            </w: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hi-IN"/>
              </w:rPr>
              <w:t>,5/</w:t>
            </w:r>
            <w:r w:rsidRPr="005816EC">
              <w:rPr>
                <w:rFonts w:ascii="Calibri" w:eastAsia="Times New Roman" w:hAnsi="Calibri" w:cs="Calibri"/>
                <w:color w:val="000000"/>
                <w:lang w:eastAsia="en-IN" w:bidi="hi-IN"/>
              </w:rPr>
              <w:t>Custodial Rape: Extremely rare (~0 cases, max 5 in some districts)</w:t>
            </w: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 w:bidi="hi-IN"/>
              </w:rPr>
            </w:pPr>
            <w:r w:rsidRPr="005816EC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 w:bidi="hi-IN"/>
              </w:rPr>
              <w:t>District-Level Insight:</w:t>
            </w: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 w:rsidRPr="005816EC">
              <w:rPr>
                <w:rFonts w:ascii="Calibri" w:eastAsia="Times New Roman" w:hAnsi="Calibri" w:cs="Calibri"/>
                <w:color w:val="000000"/>
                <w:lang w:eastAsia="en-IN" w:bidi="hi-IN"/>
              </w:rPr>
              <w:t>Certain districts like G.R.P. (Railways) show disproportionately high crime counts due to jurisdiction type.</w:t>
            </w: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u w:val="single"/>
                <w:lang w:eastAsia="en-IN" w:bidi="hi-IN"/>
              </w:rPr>
            </w:pPr>
            <w:r w:rsidRPr="005816EC">
              <w:rPr>
                <w:rFonts w:ascii="Segoe UI Symbol" w:eastAsia="Times New Roman" w:hAnsi="Segoe UI Symbol" w:cs="Segoe UI Symbol"/>
                <w:b/>
                <w:bCs/>
                <w:color w:val="000000"/>
                <w:sz w:val="28"/>
                <w:szCs w:val="28"/>
                <w:u w:val="single"/>
                <w:lang w:eastAsia="en-IN" w:bidi="hi-IN"/>
              </w:rPr>
              <w:t>🔹</w:t>
            </w:r>
            <w:r w:rsidRPr="005816E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u w:val="single"/>
                <w:lang w:eastAsia="en-IN" w:bidi="hi-IN"/>
              </w:rPr>
              <w:t xml:space="preserve"> Dashboard Highlights</w:t>
            </w: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 w:rsidRPr="005816EC">
              <w:rPr>
                <w:rFonts w:ascii="Calibri" w:eastAsia="Times New Roman" w:hAnsi="Calibri" w:cs="Calibri"/>
                <w:color w:val="000000"/>
                <w:lang w:eastAsia="en-IN" w:bidi="hi-IN"/>
              </w:rPr>
              <w:t>Interactive visuals summarizing top states, yearly crime trends, and crime category distribution.</w:t>
            </w: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 w:rsidRPr="005816EC">
              <w:rPr>
                <w:rFonts w:ascii="Calibri" w:eastAsia="Times New Roman" w:hAnsi="Calibri" w:cs="Calibri"/>
                <w:color w:val="000000"/>
                <w:lang w:eastAsia="en-IN" w:bidi="hi-IN"/>
              </w:rPr>
              <w:t>Easy comparison between states and years for quick insights.</w:t>
            </w: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u w:val="single"/>
                <w:lang w:eastAsia="en-IN" w:bidi="hi-IN"/>
              </w:rPr>
            </w:pPr>
            <w:r w:rsidRPr="005816EC">
              <w:rPr>
                <w:rFonts w:ascii="Segoe UI Symbol" w:eastAsia="Times New Roman" w:hAnsi="Segoe UI Symbol" w:cs="Segoe UI Symbol"/>
                <w:b/>
                <w:bCs/>
                <w:color w:val="000000"/>
                <w:sz w:val="32"/>
                <w:szCs w:val="32"/>
                <w:u w:val="single"/>
                <w:lang w:eastAsia="en-IN" w:bidi="hi-IN"/>
              </w:rPr>
              <w:t>✨</w:t>
            </w:r>
            <w:r w:rsidRPr="005816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u w:val="single"/>
                <w:lang w:eastAsia="en-IN" w:bidi="hi-IN"/>
              </w:rPr>
              <w:t xml:space="preserve"> Conclusion:</w:t>
            </w:r>
          </w:p>
        </w:tc>
      </w:tr>
      <w:tr w:rsidR="005816EC" w:rsidRPr="005816EC" w:rsidTr="005816EC">
        <w:trPr>
          <w:trHeight w:val="288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</w:p>
        </w:tc>
        <w:tc>
          <w:tcPr>
            <w:tcW w:w="8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816EC" w:rsidRPr="005816EC" w:rsidRDefault="005816EC" w:rsidP="005816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hi-IN"/>
              </w:rPr>
            </w:pPr>
            <w:r w:rsidRPr="005816EC">
              <w:rPr>
                <w:rFonts w:ascii="Calibri" w:eastAsia="Times New Roman" w:hAnsi="Calibri" w:cs="Calibri"/>
                <w:color w:val="000000"/>
                <w:lang w:eastAsia="en-IN" w:bidi="hi-IN"/>
              </w:rPr>
              <w:t>The project successfully transforms raw crime data into actionable insights using cleaning, pivot tables, and dashboards. It highlights crime hotspots, yearly patterns, and categories requiring urgent focus, making it a strong analytical case study.</w:t>
            </w:r>
          </w:p>
        </w:tc>
      </w:tr>
    </w:tbl>
    <w:p w:rsidR="00CD73DE" w:rsidRDefault="00CD73DE"/>
    <w:sectPr w:rsidR="00CD7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66A0A"/>
    <w:multiLevelType w:val="hybridMultilevel"/>
    <w:tmpl w:val="3AA8AE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6EC"/>
    <w:rsid w:val="005816EC"/>
    <w:rsid w:val="0078051E"/>
    <w:rsid w:val="009C4822"/>
    <w:rsid w:val="00CD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ABA41B-73D3-4BA9-9265-0B5ED40CD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16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05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2025-12-08T10:04:00Z</dcterms:created>
  <dcterms:modified xsi:type="dcterms:W3CDTF">2025-12-08T10:04:00Z</dcterms:modified>
</cp:coreProperties>
</file>