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1111" w:val="clear"/>
        <w:spacing w:after="40"/>
        <w:ind w:left="0"/>
      </w:pPr>
      <w:r>
        <w:rPr>
          <w:rFonts w:ascii="Arial" w:cs="Arial" w:eastAsia="Arial" w:hAnsi="Arial"/>
          <w:b/>
          <w:bCs/>
          <w:color w:val="CDE22E"/>
          <w:sz w:val="34"/>
          <w:szCs w:val="34"/>
        </w:rPr>
        <w:t xml:space="preserve">  HEALTHCARE PREDICTIVE ANALYTICS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Disease (heart disease) prediction using Logistic Regression  |  Tool: Microsoft Excel  |  Task 5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0"/>
        <w:gridCol w:w="376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619500" cy="4686300"/>
                  <wp:effectExtent t="0" r="0" b="0" l="0"/>
                  <wp:docPr id="1" name="dash" descr="Predictive analytics dashboard" title="Excel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Excel dashboard (hold-out test set, 200 patients)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1.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 the likelihood that a patient has heart disease from routine clinical data, so high-risk patients can be flagged early.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7B68EE"/>
                <w:sz w:val="21"/>
                <w:szCs w:val="21"/>
              </w:rPr>
              <w:t xml:space="preserve">2. Method (4 steps)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1,000 patient records (age, gender, BMI, BP, cholesterol, glucose, smoking, family history, exercise).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Preprocessing: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data; 800 records for training, 200 held out for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building: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Regression; probability computed with Excel formulas, threshold 0.50.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matrix, accuracy, precision, recall, F1.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FF4F3F"/>
                <w:sz w:val="21"/>
                <w:szCs w:val="21"/>
              </w:rPr>
              <w:t xml:space="preserve">3. Results (test 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 84.5%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vs 63.0% for a no-model baseline.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78.7%, Recall 79.7%, F1 79.2%.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catches 59 of 74 patients who truly have disease (FN = 15, FP = 16).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predictors: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age, smoking, cholesterol, systolic BP.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High-risk band: 87% actual disease rate vs 9% in the low-risk band.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FF4F3F"/>
                <w:sz w:val="21"/>
                <w:szCs w:val="21"/>
              </w:rPr>
              <w:t xml:space="preserve">4. Conclusion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simple model gives useful, explainable risk scores and generalises well (train and test scores are close). Lowering the threshold raises recall at the cost of precision, which suits screening.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5. Limitations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is synthetic and for demonstration only; not for clinical use. A real project needs real, larger data and validation.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e8dfe4b42edd40078d02c4bb70e701d929a5f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2026-10-24T05:31:09.192Z</dcterms:created>
  <dcterms:modified xsi:type="dcterms:W3CDTF">2026-10-24T05:31:09.192Z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