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F7F7F"/>
          <w:sz w:val="20"/>
          <w:szCs w:val="20"/>
        </w:rPr>
        <w:t xml:space="preserve">PUBLIC LITERATURE RESEARCH REPORT</w:t>
      </w:r>
    </w:p>
    <w:p>
      <w:pPr>
        <w:spacing w:after="60"/>
      </w:pPr>
      <w:r>
        <w:rPr>
          <w:b/>
          <w:bCs/>
          <w:color w:val="1F4E79"/>
          <w:sz w:val="36"/>
          <w:szCs w:val="36"/>
        </w:rPr>
        <w:t xml:space="preserve">Type 2 Diabetes Mellitus: Current Evidence and Its Implications for Clinical Research Scribing</w:t>
      </w:r>
    </w:p>
    <w:p>
      <w:pPr>
        <w:spacing w:after="60"/>
      </w:pPr>
      <w:r>
        <w:rPr>
          <w:color w:val="595959"/>
          <w:sz w:val="20"/>
          <w:szCs w:val="20"/>
        </w:rPr>
        <w:t xml:space="preserve">Week 2 Task  |  Public Literature Research and Documentation  |  Clinical Research Scribe Internship</w:t>
      </w:r>
    </w:p>
    <w:p>
      <w:pPr>
        <w:pBdr>
          <w:bottom w:val="single" w:color="1F4E79" w:sz="12" w:space="6"/>
        </w:pBdr>
        <w:spacing w:after="160"/>
      </w:pPr>
      <w:r>
        <w:rPr>
          <w:color w:val="595959"/>
          <w:sz w:val="19"/>
          <w:szCs w:val="19"/>
        </w:rPr>
        <w:t xml:space="preserve">Prepared by: [Your Name]     Date: 17 October 2026     Literature window: October 2021 to October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EAF1F8" w:color="auto" w:val="clear"/>
            <w:tcMar>
              <w:top w:type="dxa" w:w="100"/>
              <w:left w:type="dxa" w:w="160"/>
              <w:bottom w:type="dxa" w:w="100"/>
              <w:right w:type="dxa" w:w="160"/>
            </w:tcMar>
          </w:tcPr>
          <w:p>
            <w:pPr>
              <w:spacing w:after="60" w:before="0" w:line="285"/>
            </w:pPr>
            <w:r>
              <w:rPr>
                <w:b/>
                <w:bCs/>
                <w:color w:val="1F4E79"/>
              </w:rPr>
              <w:t xml:space="preserve">Abstract</w:t>
            </w:r>
          </w:p>
          <w:p>
            <w:pPr>
              <w:spacing w:after="60" w:before="0" w:line="285"/>
            </w:pPr>
            <w:r>
              <w:rPr>
                <w:sz w:val="20"/>
                <w:szCs w:val="20"/>
              </w:rPr>
              <w:t xml:space="preserve">Background: Type 2 diabetes mellitus (T2DM) is one of the most documentation-intensive chronic conditions in outpatient care. Objective: To review recent public literature (2021 to 2026) on the burden of T2DM, current guideline and treatment evidence, and evidence on documentation support such as scribes and ambient AI, and to translate the findings into practical guidance for clinical research scribes. Methods: Targeted searches of public sources (PubMed/PMC-indexed records, journal websites, ClinicalTrials.gov and the International Diabetes Federation) identified nine eligible sources. Findings: Diabetes affects an estimated 589 million adults worldwide and about 101 million people in India; the 2026 ADA Standards of Care expand technology, obesity-medication and behavioral-health guidance; large trials show cardiorenal benefits of incretin-based therapy in high-risk patients; and randomized trials show ambient AI scribes can reduce clinician exhaustion, with inconsistent time savings across products. Conclusion: Accurate T2DM notes need structured capture of glycemic data, exact medication details, cardiorenal status, complication screening and psychosocial factors, and human review remains essential even when AI drafts the note.</w:t>
            </w:r>
          </w:p>
        </w:tc>
      </w:tr>
    </w:tbl>
    <w:p>
      <w:pPr>
        <w:pStyle w:val="Heading1"/>
        <w:keepNext/>
      </w:pPr>
      <w:r>
        <w:t xml:space="preserve">1. Introduction</w:t>
      </w:r>
    </w:p>
    <w:p>
      <w:pPr>
        <w:pStyle w:val="Heading2"/>
        <w:keepNext/>
      </w:pPr>
      <w:r>
        <w:t xml:space="preserve">1.1 Choice of topic and justification</w:t>
      </w:r>
    </w:p>
    <w:p>
      <w:pPr>
        <w:spacing w:after="100" w:before="0" w:line="285"/>
      </w:pPr>
      <w:r>
        <w:t xml:space="preserve">Type 2 diabetes mellitus (T2DM) was selected as the clinical topic for this review for four reasons.</w:t>
      </w:r>
    </w:p>
    <w:p>
      <w:pPr>
        <w:pStyle w:val="ListParagraph"/>
        <w:numPr>
          <w:ilvl w:val="0"/>
          <w:numId w:val="2"/>
        </w:numPr>
        <w:spacing w:after="50" w:line="285"/>
      </w:pPr>
      <w:r>
        <w:rPr>
          <w:b/>
          <w:bCs/>
        </w:rPr>
        <w:t xml:space="preserve">Scale. </w:t>
      </w:r>
      <w:r>
        <w:t xml:space="preserve">The International Diabetes Federation (IDF) estimates that 589 million adults aged 20 to 79 years were living with diabetes in 2024, and three in four of them live in low- and middle-income countries [1]. In India, the national ICMR-INDIAB survey estimated that 11.4% of adults (about 101 million people) have diabetes and a further 15.3% (about 136 million) have prediabetes [2]. A scribe in almost any primary care or specialty clinic will document T2DM visits routinely.</w:t>
      </w:r>
    </w:p>
    <w:p>
      <w:pPr>
        <w:pStyle w:val="ListParagraph"/>
        <w:numPr>
          <w:ilvl w:val="0"/>
          <w:numId w:val="2"/>
        </w:numPr>
        <w:spacing w:after="50" w:line="285"/>
      </w:pPr>
      <w:r>
        <w:rPr>
          <w:b/>
          <w:bCs/>
        </w:rPr>
        <w:t xml:space="preserve">Documentation density. </w:t>
      </w:r>
      <w:r>
        <w:t xml:space="preserve">A single T2DM visit can involve glycemic data, a multi-drug regimen, complication screening, kidney and cardiovascular status, lifestyle counseling and follow-up planning, so omissions or transcription errors are easy to make.</w:t>
      </w:r>
    </w:p>
    <w:p>
      <w:pPr>
        <w:pStyle w:val="ListParagraph"/>
        <w:numPr>
          <w:ilvl w:val="0"/>
          <w:numId w:val="2"/>
        </w:numPr>
        <w:spacing w:after="50" w:line="285"/>
      </w:pPr>
      <w:r>
        <w:rPr>
          <w:b/>
          <w:bCs/>
        </w:rPr>
        <w:t xml:space="preserve">Fast-moving evidence. </w:t>
      </w:r>
      <w:r>
        <w:t xml:space="preserve">The American Diabetes Association (ADA) revised its Standards of Care for 2026 [3], and landmark outcome trials published in 2024 and 2025 [4, 5] are changing which medications appear in notes and why.</w:t>
      </w:r>
    </w:p>
    <w:p>
      <w:pPr>
        <w:pStyle w:val="ListParagraph"/>
        <w:numPr>
          <w:ilvl w:val="0"/>
          <w:numId w:val="2"/>
        </w:numPr>
        <w:spacing w:after="50" w:line="285"/>
      </w:pPr>
      <w:r>
        <w:rPr>
          <w:b/>
          <w:bCs/>
        </w:rPr>
        <w:t xml:space="preserve">Direct link to scribing. </w:t>
      </w:r>
      <w:r>
        <w:t xml:space="preserve">Clinician documentation workload has been studied in relation to burnout and errors [6], which is the problem scribes and ambient AI tools are meant to ease [7 to 9].</w:t>
      </w:r>
    </w:p>
    <w:p>
      <w:pPr>
        <w:pStyle w:val="Heading2"/>
        <w:keepNext/>
      </w:pPr>
      <w:r>
        <w:t xml:space="preserve">1.2 Research questions</w:t>
      </w:r>
    </w:p>
    <w:p>
      <w:pPr>
        <w:pStyle w:val="ListParagraph"/>
        <w:numPr>
          <w:ilvl w:val="0"/>
          <w:numId w:val="2"/>
        </w:numPr>
        <w:spacing w:after="50" w:line="285"/>
      </w:pPr>
      <w:r>
        <w:t xml:space="preserve">RQ1. What is the current burden of T2DM, and how are clinical guidelines evolving?</w:t>
      </w:r>
    </w:p>
    <w:p>
      <w:pPr>
        <w:pStyle w:val="ListParagraph"/>
        <w:numPr>
          <w:ilvl w:val="0"/>
          <w:numId w:val="2"/>
        </w:numPr>
        <w:spacing w:after="50" w:line="285"/>
      </w:pPr>
      <w:r>
        <w:t xml:space="preserve">RQ2. What do recent high-quality trials show about outcomes with newer glucose-lowering therapies?</w:t>
      </w:r>
    </w:p>
    <w:p>
      <w:pPr>
        <w:pStyle w:val="ListParagraph"/>
        <w:numPr>
          <w:ilvl w:val="0"/>
          <w:numId w:val="2"/>
        </w:numPr>
        <w:spacing w:after="50" w:line="285"/>
      </w:pPr>
      <w:r>
        <w:t xml:space="preserve">RQ3. What does recent evidence show about scribes and ambient AI in clinical documentation?</w:t>
      </w:r>
    </w:p>
    <w:p>
      <w:pPr>
        <w:pStyle w:val="ListParagraph"/>
        <w:numPr>
          <w:ilvl w:val="0"/>
          <w:numId w:val="2"/>
        </w:numPr>
        <w:spacing w:after="50" w:line="285"/>
      </w:pPr>
      <w:r>
        <w:t xml:space="preserve">RQ4. Which documentation elements should a clinical research scribe capture accurately in a T2DM encounter?</w:t>
      </w:r>
    </w:p>
    <w:p>
      <w:pPr>
        <w:pStyle w:val="Heading1"/>
        <w:keepNext/>
      </w:pPr>
      <w:r>
        <w:t xml:space="preserve">2. Methods</w:t>
      </w:r>
    </w:p>
    <w:p>
      <w:pPr>
        <w:pStyle w:val="Heading2"/>
        <w:keepNext/>
      </w:pPr>
      <w:r>
        <w:t xml:space="preserve">2.1 Search strategy</w:t>
      </w:r>
    </w:p>
    <w:p>
      <w:pPr>
        <w:spacing w:after="100" w:before="0" w:line="285"/>
      </w:pPr>
      <w:r>
        <w:t xml:space="preserve">Searches were run on 17 October 2026 across public sources: PubMed and PMC-indexed records, journal and publisher websites (Diabetes Care, New England Journal of Medicine, NEJM AI, The Lancet Diabetes &amp; Endocrinology, JAMA Network Open), ClinicalTrials.gov registry records, and the IDF Diabetes Atlas. Search terms combined the condition (type 2 diabetes), the intervention or topic (Standards of Care 2026, semaglutide, tirzepatide, ambient AI scribe, prevalence) and design words (randomized trial, cardiovascular outcomes). The queries used are listed in Appendix A so the search can be reproduced.</w:t>
      </w:r>
    </w:p>
    <w:p>
      <w:pPr>
        <w:pStyle w:val="Heading2"/>
        <w:keepNext/>
      </w:pPr>
      <w:r>
        <w:t xml:space="preserve">2.2 Eligibility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
            </w:r>
          </w:p>
        </w:tc>
        <w:tc>
          <w:tcPr>
            <w:tcW w:type="dxa" w:w="80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Criteria</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Included</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line="285"/>
            </w:pPr>
            <w:r>
              <w:rPr>
                <w:sz w:val="19"/>
                <w:szCs w:val="19"/>
              </w:rPr>
              <w:t xml:space="preserve">Published October 2021 to October 2026 (last 5 years)</w:t>
            </w:r>
          </w:p>
          <w:p>
            <w:pPr>
              <w:spacing w:after="40" w:before="0" w:line="285"/>
            </w:pPr>
            <w:r>
              <w:rPr>
                <w:sz w:val="19"/>
                <w:szCs w:val="19"/>
              </w:rPr>
              <w:t xml:space="preserve">Peer-reviewed article, official guideline, or authoritative registry/atlas</w:t>
            </w:r>
          </w:p>
          <w:p>
            <w:pPr>
              <w:spacing w:after="40" w:before="0" w:line="285"/>
            </w:pPr>
            <w:r>
              <w:rPr>
                <w:sz w:val="19"/>
                <w:szCs w:val="19"/>
              </w:rPr>
              <w:t xml:space="preserve">Addresses T2DM burden, management or outcomes, or clinical documentation and scribing</w:t>
            </w:r>
          </w:p>
          <w:p>
            <w:pPr>
              <w:spacing w:after="40" w:before="0" w:line="285"/>
            </w:pPr>
            <w:r>
              <w:rPr>
                <w:sz w:val="19"/>
                <w:szCs w:val="19"/>
              </w:rPr>
              <w:t xml:space="preserve">English language</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Excluded</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before="0" w:line="285"/>
            </w:pPr>
            <w:r>
              <w:rPr>
                <w:sz w:val="19"/>
                <w:szCs w:val="19"/>
              </w:rPr>
              <w:t xml:space="preserve">Published before October 2021</w:t>
            </w:r>
          </w:p>
          <w:p>
            <w:pPr>
              <w:spacing w:after="40" w:before="0" w:line="285"/>
            </w:pPr>
            <w:r>
              <w:rPr>
                <w:sz w:val="19"/>
                <w:szCs w:val="19"/>
              </w:rPr>
              <w:t xml:space="preserve">Preprints that were later superseded by a peer-reviewed version</w:t>
            </w:r>
          </w:p>
          <w:p>
            <w:pPr>
              <w:spacing w:after="40" w:before="0" w:line="285"/>
            </w:pPr>
            <w:r>
              <w:rPr>
                <w:sz w:val="19"/>
                <w:szCs w:val="19"/>
              </w:rPr>
              <w:t xml:space="preserve">Press releases, news and blog posts as primary evidence (used only to cross-check or for context)</w:t>
            </w:r>
          </w:p>
          <w:p>
            <w:pPr>
              <w:spacing w:after="40" w:before="0" w:line="285"/>
            </w:pPr>
            <w:r>
              <w:rPr>
                <w:sz w:val="19"/>
                <w:szCs w:val="19"/>
              </w:rPr>
              <w:t xml:space="preserve">Opinion pieces without data</w:t>
            </w:r>
          </w:p>
        </w:tc>
      </w:tr>
    </w:tbl>
    <w:p>
      <w:pPr>
        <w:pStyle w:val="Heading2"/>
        <w:keepNext/>
      </w:pPr>
      <w:r>
        <w:t xml:space="preserve">2.3 Selection, extraction and appraisal</w:t>
      </w:r>
    </w:p>
    <w:p>
      <w:pPr>
        <w:spacing w:after="100" w:before="0" w:line="285"/>
      </w:pPr>
      <w:r>
        <w:t xml:space="preserve">Titles, abstracts and publisher summaries were screened against the criteria above, and nine sources were retained (Table 1). For each, the design, population, comparator, main results, limitations and relevance to scribing were extracted. Sources were appraised informally by design hierarchy (guideline and randomized trials above observational surveys and uncontrolled quality-improvement studies), sponsorship or conflict of interest, and size. Full text was not accessible for every source; where it was not, figures were taken from the abstract or publisher record and cross-checked against reputable secondary summaries (Appendix B). This is a structured targeted review, not a formal systematic review.</w:t>
      </w:r>
    </w:p>
    <w:p>
      <w:pPr>
        <w:keepNext/>
        <w:spacing w:after="70" w:before="140" w:line="285"/>
      </w:pPr>
      <w:r>
        <w:rPr>
          <w:b/>
          <w:bCs/>
          <w:color w:val="1F4E79"/>
          <w:sz w:val="20"/>
          <w:szCs w:val="20"/>
        </w:rPr>
        <w:t xml:space="preserve">Table 1. Sources included in this review (n = 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
        <w:gridCol w:w="2000"/>
        <w:gridCol w:w="1800"/>
        <w:gridCol w:w="3000"/>
        <w:gridCol w:w="2526"/>
      </w:tblGrid>
      <w:tr>
        <w:trPr>
          <w:tblHeader/>
        </w:trPr>
        <w:tc>
          <w:tcPr>
            <w:tcW w:type="dxa" w:w="4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Source</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Design</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Key finding</w:t>
            </w:r>
          </w:p>
        </w:tc>
        <w:tc>
          <w:tcPr>
            <w:tcW w:type="dxa" w:w="2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Relevance to scribing</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IDF Diabetes Atlas, 11th ed. (2025)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Global epidemiological estimates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589 million adults with diabetes; 3 in 4 in LMICs; over 250 million unaware of their diabetes.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Shows why T2DM is encountered daily; screening and new-diagnosis visits are common.</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Anjana et al., ICMR-INDIAB, Lancet Diabetes Endocrinol (2023)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National cross-sectional survey, n = 113,043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Diabetes 11.4% (about 101 million); prediabetes 15.3% (about 136 million).</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Local burden for Indian clinics; prediabetes also needs correct documentation.</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ADA Standards of Care in Diabetes 2026, Diabetes Care (2026)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Clinical practice guideline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Updates on CGM, obesity drugs, behavioral health screening, CKD/HF/ASCVD algorithms.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Defines what a complete visit note should reflect.</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Perkovic et al., FLOW, N Engl J Med (2024)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Randomized, placebo-controlled trial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Semaglutide 1.0 mg weekly lowered the risk of major kidney outcomes by 24% in T2DM with CKD.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Kidney status (eGFR, UACR, CKD stage) must be documented.</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Nicholls et al., SURPASS-CVOT, N Engl J Med (2025)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Randomized, double-blind, active-comparator trial, n = 13,165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Tirzepatide was noninferior to dulaglutide for MACE (HR 0.92).</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ASCVD status and exact weekly-injectable details matter.</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Lou et al., J Gen Intern Med (2022)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Prospective cohort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Examined EHR workload, burnout and errors over time.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Places documentation workload within burnout and error research.</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Lukac et al., NEJM AI (2025)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3-arm randomized trial, 238 physicians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One AI scribe cut note time 9.5%; both improved burnout measures.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AI drafts still need human review.</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Afshar et al., NEJM AI (2025)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Stepped-wedge randomized trial, 66 practitioners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Work exhaustion fell 0.44 points; diagnostic coding improved.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Diagnostic coding is sensitive to how completely the note is written.</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Olson et al., JAMA Netw Open (2025)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Multicenter quality-improvement study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Burnout 51.9% to 38.8% after 30 days of ambient AI use.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Supports workflow value; uncontrolled design limits certainty.</w:t>
            </w:r>
          </w:p>
        </w:tc>
      </w:tr>
    </w:tbl>
    <w:p>
      <w:pPr>
        <w:pStyle w:val="Heading1"/>
        <w:keepNext/>
      </w:pPr>
      <w:r>
        <w:t xml:space="preserve">3. Summary of Findings</w:t>
      </w:r>
    </w:p>
    <w:p>
      <w:pPr>
        <w:pStyle w:val="Heading2"/>
        <w:keepNext/>
      </w:pPr>
      <w:r>
        <w:t xml:space="preserve">3.1 Burden of disease (RQ1)</w:t>
      </w:r>
    </w:p>
    <w:p>
      <w:pPr>
        <w:spacing w:after="100" w:before="0" w:line="285"/>
      </w:pPr>
      <w:r>
        <w:t xml:space="preserve">The IDF Diabetes Atlas (11th edition, 2025) reports 589 million adults aged 20 to 79 years living with diabetes, about three in four in low- and middle-income countries, one in eight adults at high risk of developing T2DM, and more than 250 million people unaware of their condition [1]. For India, the ICMR-INDIAB study surveyed 113,043 people in urban and rural areas of 31 states and union territories between 2008 and 2020 and concluded that diabetes and other metabolic non-communicable diseases are considerably more common than previously estimated [2]. Together these sources show that undiagnosed diabetes and prediabetes are common, so scribes will regularly document screening results, new diagnoses and risk-factor counseling as well as established disease.</w:t>
      </w:r>
    </w:p>
    <w:p>
      <w:pPr>
        <w:pStyle w:val="Heading2"/>
        <w:keepNext/>
      </w:pPr>
      <w:r>
        <w:t xml:space="preserve">3.2 Guideline developments: ADA Standards of Care 2026 (RQ1)</w:t>
      </w:r>
    </w:p>
    <w:p>
      <w:pPr>
        <w:spacing w:after="100" w:before="0" w:line="285"/>
      </w:pPr>
      <w:r>
        <w:t xml:space="preserve">The ADA released its Standards of Care in Diabetes 2026 on 8 December 2025, published as a supplement to the January 2026 issue of Diabetes Care [3]. Professional summaries of the revisions highlight the following changes that affect what appears in a visit note:</w:t>
      </w:r>
    </w:p>
    <w:p>
      <w:pPr>
        <w:pStyle w:val="ListParagraph"/>
        <w:numPr>
          <w:ilvl w:val="0"/>
          <w:numId w:val="2"/>
        </w:numPr>
        <w:spacing w:after="50" w:line="285"/>
      </w:pPr>
      <w:r>
        <w:t xml:space="preserve">Diabetes technology: wider use of continuous glucose monitoring (CGM), including older adults with T2DM on insulin, and fewer prerequisites for automated insulin delivery.</w:t>
      </w:r>
    </w:p>
    <w:p>
      <w:pPr>
        <w:pStyle w:val="ListParagraph"/>
        <w:numPr>
          <w:ilvl w:val="0"/>
          <w:numId w:val="2"/>
        </w:numPr>
        <w:spacing w:after="50" w:line="285"/>
      </w:pPr>
      <w:r>
        <w:t xml:space="preserve">Medications: updated guidance on obesity pharmacotherapy and on glucose-lowering drugs' effects beyond glycemia, including cardiovascular, kidney and liver outcomes.</w:t>
      </w:r>
    </w:p>
    <w:p>
      <w:pPr>
        <w:pStyle w:val="ListParagraph"/>
        <w:numPr>
          <w:ilvl w:val="0"/>
          <w:numId w:val="2"/>
        </w:numPr>
        <w:spacing w:after="50" w:line="285"/>
      </w:pPr>
      <w:r>
        <w:t xml:space="preserve">Behavioral health: screening, including annual assessment of anxiety and fear of hypoglycemia, with referral pathways.</w:t>
      </w:r>
    </w:p>
    <w:p>
      <w:pPr>
        <w:pStyle w:val="ListParagraph"/>
        <w:numPr>
          <w:ilvl w:val="0"/>
          <w:numId w:val="2"/>
        </w:numPr>
        <w:spacing w:after="50" w:line="285"/>
      </w:pPr>
      <w:r>
        <w:t xml:space="preserve">Algorithms: new or updated pathways for symptomatic heart failure, chronic kidney disease (CKD), and prevention of atherosclerotic cardiovascular disease (ASCVD) in T2DM.</w:t>
      </w:r>
    </w:p>
    <w:p>
      <w:pPr>
        <w:pStyle w:val="ListParagraph"/>
        <w:numPr>
          <w:ilvl w:val="0"/>
          <w:numId w:val="2"/>
        </w:numPr>
        <w:spacing w:after="50" w:line="285"/>
      </w:pPr>
      <w:r>
        <w:t xml:space="preserve">Special settings: glycemic management during cancer treatment and organ transplantation, and perioperative glycemic goals.</w:t>
      </w:r>
    </w:p>
    <w:p>
      <w:pPr>
        <w:spacing w:after="100" w:before="60" w:line="285"/>
      </w:pPr>
      <w:r>
        <w:t xml:space="preserve">Implication: a complete 2026-era T2DM note reflects more than the HbA1c. It also records device use, weight and obesity treatment, cardiorenal status and mental-health screening.</w:t>
      </w:r>
    </w:p>
    <w:p>
      <w:pPr>
        <w:pStyle w:val="Heading2"/>
        <w:keepNext/>
      </w:pPr>
      <w:r>
        <w:t xml:space="preserve">3.3 Outcomes of newer therapies (RQ2)</w:t>
      </w:r>
    </w:p>
    <w:p>
      <w:pPr>
        <w:spacing w:after="100" w:before="0" w:line="285"/>
      </w:pPr>
      <w:r>
        <w:rPr>
          <w:b/>
          <w:bCs/>
        </w:rPr>
        <w:t xml:space="preserve">FLOW (semaglutide and kidney outcomes). </w:t>
      </w:r>
      <w:r>
        <w:t xml:space="preserve">In adults with T2DM and CKD, once-weekly subcutaneous semaglutide 1.0 mg versus placebo lowered the risk of the primary composite (kidney failure, at least a 50% fall in eGFR, or death from kidney or cardiovascular causes) by 24%, with a median follow-up of 3.4 years; the authors concluded it reduced clinically important kidney outcomes and cardiovascular death [4]. The trial was industry-funded (Novo Nordisk).</w:t>
      </w:r>
    </w:p>
    <w:p>
      <w:pPr>
        <w:spacing w:after="100" w:before="0" w:line="285"/>
      </w:pPr>
      <w:r>
        <w:rPr>
          <w:b/>
          <w:bCs/>
        </w:rPr>
        <w:t xml:space="preserve">SURPASS-CVOT (tirzepatide versus dulaglutide). </w:t>
      </w:r>
      <w:r>
        <w:t xml:space="preserve">In 13,165 adults with T2DM and established ASCVD, once-weekly tirzepatide (up to 15 mg) was noninferior to dulaglutide 1.5 mg for the composite of cardiovascular death, myocardial infarction or stroke over a median of about four years (12.2% vs 13.1%; hazard ratio 0.92; noninferiority p = 0.003, superiority not shown, p = 0.09). All-cause death was numerically lower with tirzepatide (8.6% vs 10.2%), reported as a secondary finding [5]. The comparator was an active GLP-1 receptor agonist rather than placebo, and the trial was industry-sponsored (Eli Lilly).</w:t>
      </w:r>
    </w:p>
    <w:p>
      <w:pPr>
        <w:spacing w:after="100" w:before="0" w:line="285"/>
      </w:pPr>
      <w:r>
        <w:t xml:space="preserve">Implication: both trials enrolled high-risk patients, so therapy choices in practice are tied to documented CKD, ASCVD and heart-failure status. Notes should state the exact drug, dose, route and frequency (for example, a weekly injection) and the clinical condition that makes it appropriate. These trials are not documentation studies; the link to scribing is an interpretation by the reviewer.</w:t>
      </w:r>
    </w:p>
    <w:p>
      <w:pPr>
        <w:pStyle w:val="Heading2"/>
        <w:keepNext/>
      </w:pPr>
      <w:r>
        <w:t xml:space="preserve">3.4 Documentation burden, scribes and ambient AI (RQ3)</w:t>
      </w:r>
    </w:p>
    <w:p>
      <w:pPr>
        <w:spacing w:after="100" w:before="0" w:line="285"/>
      </w:pPr>
      <w:r>
        <w:t xml:space="preserve">Clinician documentation workload has been examined in relation to burnout and errors [6], and a recent multicenter study notes that clinicians spend more time on EHR administrative tasks than on direct patient care [9]. Three recent studies evaluated ambient AI scribes:</w:t>
      </w:r>
    </w:p>
    <w:p>
      <w:pPr>
        <w:keepNext/>
        <w:spacing w:after="70" w:before="140" w:line="285"/>
      </w:pPr>
      <w:r>
        <w:rPr>
          <w:b/>
          <w:bCs/>
          <w:color w:val="1F4E79"/>
          <w:sz w:val="20"/>
          <w:szCs w:val="20"/>
        </w:rPr>
        <w:t xml:space="preserve">Table 2. Recent ambient AI scribe studies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646"/>
        <w:gridCol w:w="20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Study</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Design and size</w:t>
            </w:r>
          </w:p>
        </w:tc>
        <w:tc>
          <w:tcPr>
            <w:tcW w:type="dxa" w:w="36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Main results</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Caveats</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Lukac et al., NEJM AI 2025 [7]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Randomized, three arms (two AI scribes vs usual care); 238 outpatient physicians, 14 specialties</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Time in note fell 9.5% with Nabla (P = 0.02) and 1.7% with DAX (not significant); both tools improved burnout, task-load and work-exhaustion scores.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Two-month exposure; results differed between products.</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Afshar et al., NEJM AI 2025 [8]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24-week stepped-wedge randomized trial; 66 practitioners; 71,487 notes (38% AI-generated)</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Work exhaustion fell 0.44 points on a 5-point scale (95% CI -0.62 to -0.25); professional fulfillment did not significantly rise; diagnostic billing codes improved; note quality was audited with a rubric.</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Single health system; durability unknown.</w:t>
            </w:r>
          </w:p>
        </w:tc>
      </w:tr>
      <w:tr>
        <w:trPr>
          <w:cantSplit/>
        </w:trPr>
        <w:tc>
          <w:tcPr>
            <w:tcW w:type="dxa" w:w="17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Olson et al., JAMA Netw Open 2025 [9]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Pre/post quality-improvement study; 263 analyzed clinicians in 6 health systems</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Burnout fell from 51.9% to 38.8% after 30 days (OR 0.26; 95% CI 0.13 to 0.54); less after-hours documentation.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Uncontrolled, voluntary, 60.3% survey completion; one author affiliated with the vendor.</w:t>
            </w:r>
          </w:p>
        </w:tc>
      </w:tr>
    </w:tbl>
    <w:p>
      <w:pPr>
        <w:spacing w:after="100" w:before="100" w:line="285"/>
      </w:pPr>
      <w:r>
        <w:t xml:space="preserve">Implication: ambient AI tools show a consistent benefit for clinician well-being, but time savings vary and note accuracy needs active oversight. The human scribe or reviewer therefore remains the safeguard for completeness and correctness, particularly for medication names, doses, units and negative findings.</w:t>
      </w:r>
    </w:p>
    <w:p>
      <w:pPr>
        <w:pStyle w:val="Heading2"/>
        <w:keepNext/>
      </w:pPr>
      <w:r>
        <w:t xml:space="preserve">3.5 Strengths and limitations of the 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84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Source type</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Strengths</w:t>
            </w:r>
          </w:p>
        </w:tc>
        <w:tc>
          <w:tcPr>
            <w:tcW w:type="dxa" w:w="38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Limitations</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Guideline and atlas [1, 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Authoritative, regularly updated, broad scope.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Consensus-based recommendations; atlas figures are model-based estimates.</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Outcome trials [4, 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Large randomized trials with hard clinical endpoints.</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Industry-sponsored; selected high-risk populations; SURPASS-CVOT used an active comparator and tested noninferiority.</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Prevalence survey [2]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Large, nationally representative sample.</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Cross-sectional; fieldwork spanned 2008 to 2020.</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Documentation and AI scribe studies [6 to 9]</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Mix of randomized and real-world designs.</w:t>
            </w:r>
          </w:p>
        </w:tc>
        <w:tc>
          <w:tcPr>
            <w:tcW w:type="dxa" w:w="3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Short follow-up, self-reported burnout outcomes, vendor involvement, physician-focused rather than scribe-focused.</w:t>
            </w:r>
          </w:p>
        </w:tc>
      </w:tr>
    </w:tbl>
    <w:p>
      <w:pPr>
        <w:pStyle w:val="Heading1"/>
        <w:keepNext/>
      </w:pPr>
      <w:r>
        <w:t xml:space="preserve">4. Applications to Clinical Research Scribing (RQ4)</w:t>
      </w:r>
    </w:p>
    <w:p>
      <w:pPr>
        <w:spacing w:after="100" w:before="0" w:line="285"/>
      </w:pPr>
      <w:r>
        <w:t xml:space="preserve">The findings above can be translated into a practical checklist for documenting a T2DM encounter. A scribe records only what the clinician and patient say or do; diagnoses, orders and code selection remain the responsibility of the provider and certified coders.</w:t>
      </w:r>
    </w:p>
    <w:p>
      <w:pPr>
        <w:keepNext/>
        <w:spacing w:after="70" w:before="140" w:line="285"/>
      </w:pPr>
      <w:r>
        <w:rPr>
          <w:b/>
          <w:bCs/>
          <w:color w:val="1F4E79"/>
          <w:sz w:val="20"/>
          <w:szCs w:val="20"/>
        </w:rPr>
        <w:t xml:space="preserve">Table 3. T2DM encounter documentation checklist informed by the reviewed literature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54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Element</w:t>
            </w:r>
          </w:p>
        </w:tc>
        <w:tc>
          <w:tcPr>
            <w:tcW w:type="dxa" w:w="5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What to capture</w:t>
            </w:r>
          </w:p>
        </w:tc>
        <w:tc>
          <w:tcPr>
            <w:tcW w:type="dxa" w:w="25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Evidence link</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Glycemic control</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Most recent HbA1c value and date; home glucose or CGM readings; hypoglycemia episodes (frequency, severity, symptoms); the individualized HbA1c target if the provider states one.</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 CGM expansion; fear-of-hypoglycemia screening</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Medications</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Generic and brand name, dose, route, frequency, start date and titration step; weekly injectables recorded exactly (for example, semaglutide 1.0 mg SC once weekly); adherence, missed doses, side effects, cost or access barriers.</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[4, 5] weekly incretin regimens</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Kidney status</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eGFR, urine albumin-to-creatinine ratio (UACR), CKD stage if stated, and date of last test.</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 4] CKD algorithm; FLOW</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Cardiovascular status</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ASCVD history, heart failure symptoms, blood pressure, lipid therapy.</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 5] HF and ASCVD algorithms; SURPASS-CVOT</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Complication screening</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Eye exam, foot exam and neuropathy symptoms, with dates and results as stated.</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 standards of care</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Weight and lifestyle</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Weight, obesity treatment, nutrition and activity counseling given.</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 obesity and nutrition updates</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Behavioral health</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Diabetes distress, anxiety, mood, and fear of hypoglycemia as discussed; referral if made.</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 behavioral health screening</w:t>
            </w:r>
          </w:p>
        </w:tc>
      </w:tr>
      <w:tr>
        <w:trPr>
          <w:cantSplit/>
        </w:trPr>
        <w:tc>
          <w:tcPr>
            <w:tcW w:type="dxa" w:w="19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Plan and follow-up</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Orders (labs, referrals), medication changes, patient education, return precautions, next visit interval.</w:t>
            </w:r>
          </w:p>
        </w:tc>
        <w:tc>
          <w:tcPr>
            <w:tcW w:type="dxa" w:w="2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w:t>
            </w:r>
          </w:p>
        </w:tc>
      </w:tr>
    </w:tbl>
    <w:p>
      <w:pPr>
        <w:pStyle w:val="Heading2"/>
        <w:keepNext/>
      </w:pPr>
      <w:r>
        <w:t xml:space="preserve">4.1 Specificity and coding awareness</w:t>
      </w:r>
    </w:p>
    <w:p>
      <w:pPr>
        <w:spacing w:after="100" w:before="0" w:line="285"/>
      </w:pPr>
      <w:r>
        <w:t xml:space="preserve">Because diagnostic coding improved with ambient AI in one randomized trial [8], the completeness of the underlying note clearly matters, and scribes should record complications and causal links exactly as the provider states them. The table below shows ICD-10-CM examples for orientation only. Code assignment is done by the provider or coder, and current code sets should always be confirmed.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rPr>
          <w:tblHeader/>
        </w:trPr>
        <w:tc>
          <w:tcPr>
            <w:tcW w:type="dxa" w:w="7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Provider statement (example)</w:t>
            </w:r>
          </w:p>
        </w:tc>
        <w:tc>
          <w:tcPr>
            <w:tcW w:type="dxa" w:w="27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Reference ICD-10-CM code</w:t>
            </w:r>
          </w:p>
        </w:tc>
      </w:tr>
      <w:tr>
        <w:trPr>
          <w:cantSplit/>
        </w:trPr>
        <w:tc>
          <w:tcPr>
            <w:tcW w:type="dxa" w:w="7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Type 2 diabetes without complications</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E11.9</w:t>
            </w:r>
          </w:p>
        </w:tc>
      </w:tr>
      <w:tr>
        <w:trPr>
          <w:cantSplit/>
        </w:trPr>
        <w:tc>
          <w:tcPr>
            <w:tcW w:type="dxa" w:w="7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Type 2 diabetes with diabetic chronic kidney disease (add the CKD stage code, for example N18.31 for stage 3a)</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E11.22 plus N18.-</w:t>
            </w:r>
          </w:p>
        </w:tc>
      </w:tr>
      <w:tr>
        <w:trPr>
          <w:cantSplit/>
        </w:trPr>
        <w:tc>
          <w:tcPr>
            <w:tcW w:type="dxa" w:w="7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Type 2 diabetes with hyperglycemia</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E11.65</w:t>
            </w:r>
          </w:p>
        </w:tc>
      </w:tr>
      <w:tr>
        <w:trPr>
          <w:cantSplit/>
        </w:trPr>
        <w:tc>
          <w:tcPr>
            <w:tcW w:type="dxa" w:w="7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Long-term use of oral hypoglycemic drugs / injectable non-insulin antidiabetic drugs / insulin</w:t>
            </w:r>
          </w:p>
        </w:tc>
        <w:tc>
          <w:tcPr>
            <w:tcW w:type="dxa" w:w="2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Z79.84 / Z79.85 / Z79.4</w:t>
            </w:r>
          </w:p>
        </w:tc>
      </w:tr>
    </w:tbl>
    <w:p>
      <w:pPr>
        <w:pStyle w:val="Heading2"/>
        <w:keepNext/>
      </w:pPr>
      <w:r>
        <w:t xml:space="preserve">4.2 Illustrative documentation (fictional example)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60" w:before="0" w:line="285"/>
            </w:pPr>
            <w:r>
              <w:rPr>
                <w:b/>
                <w:bCs/>
                <w:color w:val="1F4E79"/>
              </w:rPr>
              <w:t xml:space="preserve">Assessment and Plan excerpt, fictional patient, for training only</w:t>
            </w:r>
          </w:p>
          <w:p>
            <w:pPr>
              <w:spacing w:after="60" w:before="0" w:line="285"/>
            </w:pPr>
            <w:r>
              <w:rPr>
                <w:sz w:val="20"/>
                <w:szCs w:val="20"/>
              </w:rPr>
              <w:t xml:space="preserve">1. Type 2 diabetes mellitus with diabetic chronic kidney disease, stage 3a (eGFR 52 mL/min/1.73 m2; UACR 120 mg/g, [date]). Most recent HbA1c 7.9% ([date]). Patient reports no hypoglycemia and denies nausea or vomiting.</w:t>
            </w:r>
          </w:p>
          <w:p>
            <w:pPr>
              <w:spacing w:after="60" w:before="0" w:line="285"/>
            </w:pPr>
            <w:r>
              <w:rPr>
                <w:sz w:val="20"/>
                <w:szCs w:val="20"/>
              </w:rPr>
              <w:t xml:space="preserve">Plan: Continue semaglutide 1.0 mg SC once weekly and metformin 500 mg PO twice daily as prescribed. Counseled on hydration, foot care and dietary pattern. Repeat HbA1c, eGFR and UACR in 3 months. Follow-up in 3 months; return sooner for persistent vomiting, reduced urine output or symptomatic low glucose.</w:t>
            </w:r>
          </w:p>
        </w:tc>
      </w:tr>
    </w:tbl>
    <w:p>
      <w:pPr>
        <w:pStyle w:val="Heading2"/>
        <w:keepNext/>
      </w:pPr>
      <w:r>
        <w:t xml:space="preserve">4.3 Working with ambient AI drafts</w:t>
      </w:r>
    </w:p>
    <w:p>
      <w:pPr>
        <w:pStyle w:val="ListParagraph"/>
        <w:numPr>
          <w:ilvl w:val="0"/>
          <w:numId w:val="2"/>
        </w:numPr>
        <w:spacing w:after="50" w:line="285"/>
      </w:pPr>
      <w:r>
        <w:t xml:space="preserve">Verify every drug name, dose, unit and date against what the clinician actually said; do not accept a draft because it reads fluently.</w:t>
      </w:r>
    </w:p>
    <w:p>
      <w:pPr>
        <w:pStyle w:val="ListParagraph"/>
        <w:numPr>
          <w:ilvl w:val="0"/>
          <w:numId w:val="2"/>
        </w:numPr>
        <w:spacing w:after="50" w:line="285"/>
      </w:pPr>
      <w:r>
        <w:t xml:space="preserve">Check that pertinent negatives (for example, no hypoglycemia, no chest pain) were not dropped or invented.</w:t>
      </w:r>
    </w:p>
    <w:p>
      <w:pPr>
        <w:pStyle w:val="ListParagraph"/>
        <w:numPr>
          <w:ilvl w:val="0"/>
          <w:numId w:val="2"/>
        </w:numPr>
        <w:spacing w:after="50" w:line="285"/>
      </w:pPr>
      <w:r>
        <w:t xml:space="preserve">Confirm that lab values and dates are attributed correctly and not carried forward from older notes.</w:t>
      </w:r>
    </w:p>
    <w:p>
      <w:pPr>
        <w:pStyle w:val="ListParagraph"/>
        <w:numPr>
          <w:ilvl w:val="0"/>
          <w:numId w:val="2"/>
        </w:numPr>
        <w:spacing w:after="50" w:line="285"/>
      </w:pPr>
      <w:r>
        <w:t xml:space="preserve">Flag unsupported statements to the provider instead of silently correcting clinical content.</w:t>
      </w:r>
    </w:p>
    <w:p>
      <w:pPr>
        <w:pStyle w:val="Heading1"/>
        <w:keepNext/>
      </w:pPr>
      <w:r>
        <w:t xml:space="preserve">5. Conclusions</w:t>
      </w:r>
    </w:p>
    <w:p>
      <w:pPr>
        <w:pStyle w:val="ListParagraph"/>
        <w:numPr>
          <w:ilvl w:val="0"/>
          <w:numId w:val="2"/>
        </w:numPr>
        <w:spacing w:after="50" w:line="285"/>
      </w:pPr>
      <w:r>
        <w:t xml:space="preserve">T2DM is common, under-diagnosed and rising, with an estimated 589 million adults affected worldwide and about 101 million in India [1, 2].</w:t>
      </w:r>
    </w:p>
    <w:p>
      <w:pPr>
        <w:pStyle w:val="ListParagraph"/>
        <w:numPr>
          <w:ilvl w:val="0"/>
          <w:numId w:val="2"/>
        </w:numPr>
        <w:spacing w:after="50" w:line="285"/>
      </w:pPr>
      <w:r>
        <w:t xml:space="preserve">The 2026 ADA Standards of Care broaden what a complete T2DM note should reflect: technology, obesity care, cardiorenal status and behavioral health [3].</w:t>
      </w:r>
    </w:p>
    <w:p>
      <w:pPr>
        <w:pStyle w:val="ListParagraph"/>
        <w:numPr>
          <w:ilvl w:val="0"/>
          <w:numId w:val="2"/>
        </w:numPr>
        <w:spacing w:after="50" w:line="285"/>
      </w:pPr>
      <w:r>
        <w:t xml:space="preserve">Recent trials support cardiorenal benefit of incretin-based therapy in high-risk patients, so documentation of CKD, ASCVD and exact regimens is clinically meaningful [4, 5].</w:t>
      </w:r>
    </w:p>
    <w:p>
      <w:pPr>
        <w:pStyle w:val="ListParagraph"/>
        <w:numPr>
          <w:ilvl w:val="0"/>
          <w:numId w:val="2"/>
        </w:numPr>
        <w:spacing w:after="50" w:line="285"/>
      </w:pPr>
      <w:r>
        <w:t xml:space="preserve">Ambient AI scribes reduce clinician exhaustion, but time savings are inconsistent and quality still depends on human review [7 to 9].</w:t>
      </w:r>
    </w:p>
    <w:p>
      <w:pPr>
        <w:pStyle w:val="ListParagraph"/>
        <w:numPr>
          <w:ilvl w:val="0"/>
          <w:numId w:val="2"/>
        </w:numPr>
        <w:spacing w:after="50" w:line="285"/>
      </w:pPr>
      <w:r>
        <w:t xml:space="preserve">For a clinical research scribe, accuracy, specificity and verification are the core skills the literature rewards.</w:t>
      </w:r>
    </w:p>
    <w:p>
      <w:pPr>
        <w:spacing w:after="100" w:before="100" w:line="285"/>
      </w:pPr>
      <w:r>
        <w:t xml:space="preserve">Limitations of this review: it is a targeted rather than systematic review, selection was done by a single reviewer, several figures were taken from abstracts or summaries rather than full texts, and the scribing recommendations are the reviewer's interpretation of the evidence rather than findings of the cited studies. Future work could examine human medical scribes versus ambient AI directly and measure documentation accuracy for chronic-disease visits.</w:t>
      </w:r>
    </w:p>
    <w:p>
      <w:r>
        <w:br w:type="page"/>
      </w:r>
    </w:p>
    <w:p>
      <w:pPr>
        <w:pStyle w:val="Heading1"/>
        <w:keepNext/>
      </w:pPr>
      <w:r>
        <w:t xml:space="preserve">References</w:t>
      </w:r>
    </w:p>
    <w:p>
      <w:pPr>
        <w:pStyle w:val="ListParagraph"/>
        <w:numPr>
          <w:ilvl w:val="0"/>
          <w:numId w:val="3"/>
        </w:numPr>
        <w:spacing w:after="90" w:line="270"/>
      </w:pPr>
      <w:r>
        <w:rPr>
          <w:sz w:val="20"/>
          <w:szCs w:val="20"/>
        </w:rPr>
        <w:t xml:space="preserve">International Diabetes Federation. IDF Diabetes Atlas, 11th edition. Brussels: International Diabetes Federation; 2025. Available at: https://diabetesatlas.org</w:t>
      </w:r>
    </w:p>
    <w:p>
      <w:pPr>
        <w:pStyle w:val="ListParagraph"/>
        <w:numPr>
          <w:ilvl w:val="0"/>
          <w:numId w:val="3"/>
        </w:numPr>
        <w:spacing w:after="90" w:line="270"/>
      </w:pPr>
      <w:r>
        <w:rPr>
          <w:sz w:val="20"/>
          <w:szCs w:val="20"/>
        </w:rPr>
        <w:t xml:space="preserve">Anjana RM, Unnikrishnan R, et al.; ICMR-INDIAB Collaborative Study Group. Metabolic non-communicable disease health report of India: the ICMR-INDIAB national cross-sectional study (ICMR-INDIAB-17). Lancet Diabetes Endocrinol. 2023. doi:10.1016/S2213-8587(23)00119-5</w:t>
      </w:r>
    </w:p>
    <w:p>
      <w:pPr>
        <w:pStyle w:val="ListParagraph"/>
        <w:numPr>
          <w:ilvl w:val="0"/>
          <w:numId w:val="3"/>
        </w:numPr>
        <w:spacing w:after="90" w:line="270"/>
      </w:pPr>
      <w:r>
        <w:rPr>
          <w:sz w:val="20"/>
          <w:szCs w:val="20"/>
        </w:rPr>
        <w:t xml:space="preserve">American Diabetes Association Professional Practice Committee for Diabetes. Standards of Care in Diabetes-2026. Diabetes Care. 2026;49(Suppl 1).</w:t>
      </w:r>
    </w:p>
    <w:p>
      <w:pPr>
        <w:pStyle w:val="ListParagraph"/>
        <w:numPr>
          <w:ilvl w:val="0"/>
          <w:numId w:val="3"/>
        </w:numPr>
        <w:spacing w:after="90" w:line="270"/>
      </w:pPr>
      <w:r>
        <w:rPr>
          <w:sz w:val="20"/>
          <w:szCs w:val="20"/>
        </w:rPr>
        <w:t xml:space="preserve">Perkovic V, Tuttle KR, Rossing P, et al.; FLOW Trial Committees and Investigators. Effects of semaglutide on chronic kidney disease in patients with type 2 diabetes. N Engl J Med. 2024;391:109-121. doi:10.1056/NEJMoa2403347</w:t>
      </w:r>
    </w:p>
    <w:p>
      <w:pPr>
        <w:pStyle w:val="ListParagraph"/>
        <w:numPr>
          <w:ilvl w:val="0"/>
          <w:numId w:val="3"/>
        </w:numPr>
        <w:spacing w:after="90" w:line="270"/>
      </w:pPr>
      <w:r>
        <w:rPr>
          <w:sz w:val="20"/>
          <w:szCs w:val="20"/>
        </w:rPr>
        <w:t xml:space="preserve">Nicholls SJ, et al.; SURPASS-CVOT investigators. Cardiovascular outcomes with tirzepatide versus dulaglutide in type 2 diabetes. N Engl J Med. Published 17 December 2025.</w:t>
      </w:r>
    </w:p>
    <w:p>
      <w:pPr>
        <w:pStyle w:val="ListParagraph"/>
        <w:numPr>
          <w:ilvl w:val="0"/>
          <w:numId w:val="3"/>
        </w:numPr>
        <w:spacing w:after="90" w:line="270"/>
      </w:pPr>
      <w:r>
        <w:rPr>
          <w:sz w:val="20"/>
          <w:szCs w:val="20"/>
        </w:rPr>
        <w:t xml:space="preserve">Lou SS, Lew D, Harford DR, Lu C, Evanoff BA, Duncan JG, Kannampallil T. Temporal associations between EHR-derived workload, burnout, and errors: a prospective cohort study. J Gen Intern Med. 2022;37(9):2165-2172. doi:10.1007/s11606-022-07620-3</w:t>
      </w:r>
    </w:p>
    <w:p>
      <w:pPr>
        <w:pStyle w:val="ListParagraph"/>
        <w:numPr>
          <w:ilvl w:val="0"/>
          <w:numId w:val="3"/>
        </w:numPr>
        <w:spacing w:after="90" w:line="270"/>
      </w:pPr>
      <w:r>
        <w:rPr>
          <w:sz w:val="20"/>
          <w:szCs w:val="20"/>
        </w:rPr>
        <w:t xml:space="preserve">Lukac PJ, Turner W, Vangala S, Chin AT, Khalili J, Shih YT, Sarkisian C, Cheng EM, Mafi JN. Ambient AI scribes in clinical practice: a randomized trial. NEJM AI. 2025;2(12). doi:10.1056/aioa2501000</w:t>
      </w:r>
    </w:p>
    <w:p>
      <w:pPr>
        <w:pStyle w:val="ListParagraph"/>
        <w:numPr>
          <w:ilvl w:val="0"/>
          <w:numId w:val="3"/>
        </w:numPr>
        <w:spacing w:after="90" w:line="270"/>
      </w:pPr>
      <w:r>
        <w:rPr>
          <w:sz w:val="20"/>
          <w:szCs w:val="20"/>
        </w:rPr>
        <w:t xml:space="preserve">Afshar M, Baumann MR, Resnik F, et al. A pragmatic randomized controlled trial of ambient artificial intelligence to improve health practitioner well-being. NEJM AI. 2025;2(12). doi:10.1056/aioa2500945</w:t>
      </w:r>
    </w:p>
    <w:p>
      <w:pPr>
        <w:pStyle w:val="ListParagraph"/>
        <w:numPr>
          <w:ilvl w:val="0"/>
          <w:numId w:val="3"/>
        </w:numPr>
        <w:spacing w:after="90" w:line="270"/>
      </w:pPr>
      <w:r>
        <w:rPr>
          <w:sz w:val="20"/>
          <w:szCs w:val="20"/>
        </w:rPr>
        <w:t xml:space="preserve">Olson KD, Meeker D, Troup M, et al. Use of ambient AI scribes to reduce administrative burden and professional burnout. JAMA Netw Open. 2025. doi:10.1001/jamanetworkopen.2025.34976</w:t>
      </w:r>
    </w:p>
    <w:p>
      <w:pPr>
        <w:pStyle w:val="Heading1"/>
        <w:keepNext/>
      </w:pPr>
      <w:r>
        <w:t xml:space="preserve">Appendix A: Search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
        <w:gridCol w:w="5400"/>
        <w:gridCol w:w="2326"/>
        <w:gridCol w:w="1600"/>
      </w:tblGrid>
      <w:tr>
        <w:trPr>
          <w:tblHeader/>
        </w:trPr>
        <w:tc>
          <w:tcPr>
            <w:tcW w:type="dxa" w:w="4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w:t>
            </w:r>
          </w:p>
        </w:tc>
        <w:tc>
          <w:tcPr>
            <w:tcW w:type="dxa" w:w="5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Query (as run on 17 October 2026)</w:t>
            </w:r>
          </w:p>
        </w:tc>
        <w:tc>
          <w:tcPr>
            <w:tcW w:type="dxa" w:w="2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Purpose</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line="285"/>
            </w:pPr>
            <w:r>
              <w:rPr>
                <w:b/>
                <w:bCs/>
                <w:color w:val="FFFFFF"/>
                <w:sz w:val="19"/>
                <w:szCs w:val="19"/>
              </w:rPr>
              <w:t xml:space="preserve">Source retained</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1</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Standards of Care in Diabetes 2026 American Diabetes Association Diabetes Care</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Current guideline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[3]</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2</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FLOW trial semaglutide kidney outcomes type 2 diabetes chronic kidney disease NEJM 2024</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Kidney outcome trial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[4]</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3</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SURPASS-CVOT tirzepatide versus dulaglutide cardiovascular outcomes type 2 diabetes NEJM results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Cardiovascular outcome trial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[5]</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4</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IDF Diabetes Atlas 11th edition 2025 global adults living with diabetes India</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Global burden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[1]</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5</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ICMR-INDIAB Lancet Diabetes Endocrinology 2023 Anjana metabolic non-communicable diseases India prevalence diabetes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India burden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[2]</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6</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ambient AI scribe randomized trial documentation time clinician burnout 2025</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Scribe and AI evidence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[7], [9]</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7</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Pragmatic randomized controlled trial of ambient artificial intelligence to improve health practitioner well-being NEJM AI authors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Verify authors and details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[8]</w:t>
            </w:r>
          </w:p>
        </w:tc>
      </w:tr>
      <w:tr>
        <w:trPr>
          <w:cantSplit/>
        </w:trPr>
        <w:tc>
          <w:tcPr>
            <w:tcW w:type="dxa" w:w="42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8</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Citation record lookup for documentation workload, burnout and errors (via ClinicalTrials.gov reference list)</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Documentation burden context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[6]</w:t>
            </w:r>
          </w:p>
        </w:tc>
      </w:tr>
    </w:tbl>
    <w:p>
      <w:pPr>
        <w:spacing w:after="100" w:before="80" w:line="285"/>
      </w:pPr>
      <w:r>
        <w:rPr>
          <w:i/>
          <w:iCs/>
          <w:color w:val="595959"/>
          <w:sz w:val="19"/>
          <w:szCs w:val="19"/>
        </w:rPr>
        <w:t xml:space="preserve">Note: a 2021 head-to-head trial (SURPASS-2) and a 2021 documentation-burden scoping review were identified but excluded because they were published more than five years before the search date.</w:t>
      </w:r>
    </w:p>
    <w:p>
      <w:pPr>
        <w:pStyle w:val="Heading1"/>
        <w:keepNext/>
      </w:pPr>
      <w:r>
        <w:t xml:space="preserve">Appendix B: Supplementary Context Sources (Used to Cross-Check, Not Counted as Included Studies)</w:t>
      </w:r>
    </w:p>
    <w:p>
      <w:pPr>
        <w:pStyle w:val="ListParagraph"/>
        <w:numPr>
          <w:ilvl w:val="0"/>
          <w:numId w:val="2"/>
        </w:numPr>
        <w:spacing w:after="40" w:line="260"/>
      </w:pPr>
      <w:r>
        <w:rPr>
          <w:sz w:val="18"/>
          <w:szCs w:val="18"/>
        </w:rPr>
        <w:t xml:space="preserve">ADA press release on the 2026 Standards of Care: https://diabetes.org/newsroom/press-releases/american-diabetes-association-releases-standards-care-diabetes-2026</w:t>
      </w:r>
    </w:p>
    <w:p>
      <w:pPr>
        <w:pStyle w:val="ListParagraph"/>
        <w:numPr>
          <w:ilvl w:val="0"/>
          <w:numId w:val="2"/>
        </w:numPr>
        <w:spacing w:after="40" w:line="260"/>
      </w:pPr>
      <w:r>
        <w:rPr>
          <w:sz w:val="18"/>
          <w:szCs w:val="18"/>
        </w:rPr>
        <w:t xml:space="preserve">ACP Diabetes Guide summary of the 2026 Standards: https://diabetesguide.acponline.org/archives/2025/12/12/1.htm</w:t>
      </w:r>
    </w:p>
    <w:p>
      <w:pPr>
        <w:pStyle w:val="ListParagraph"/>
        <w:numPr>
          <w:ilvl w:val="0"/>
          <w:numId w:val="2"/>
        </w:numPr>
        <w:spacing w:after="40" w:line="260"/>
      </w:pPr>
      <w:r>
        <w:rPr>
          <w:sz w:val="18"/>
          <w:szCs w:val="18"/>
        </w:rPr>
        <w:t xml:space="preserve">Patient Care Online summary of 2026 updates: https://www.patientcareonline.com/view/ada-publishes-2026-standards-of-care-with-updates-to-sections-on-technology-obesity-cardiometabolic-disease-management</w:t>
      </w:r>
    </w:p>
    <w:p>
      <w:pPr>
        <w:pStyle w:val="ListParagraph"/>
        <w:numPr>
          <w:ilvl w:val="0"/>
          <w:numId w:val="2"/>
        </w:numPr>
        <w:spacing w:after="40" w:line="260"/>
      </w:pPr>
      <w:r>
        <w:rPr>
          <w:sz w:val="18"/>
          <w:szCs w:val="18"/>
        </w:rPr>
        <w:t xml:space="preserve">IDF news release on the 11th Atlas edition: https://idf.org/news-and-resources/news/idf-diabetes-atlas-11th-edition/</w:t>
      </w:r>
    </w:p>
    <w:p>
      <w:pPr>
        <w:pStyle w:val="ListParagraph"/>
        <w:numPr>
          <w:ilvl w:val="0"/>
          <w:numId w:val="2"/>
        </w:numPr>
        <w:spacing w:after="40" w:line="260"/>
      </w:pPr>
      <w:r>
        <w:rPr>
          <w:sz w:val="18"/>
          <w:szCs w:val="18"/>
        </w:rPr>
        <w:t xml:space="preserve">GPnotebook summary of FLOW: https://gpnotebook.com/pages/diabetes-and-endocrinology/flow-study-semaglutide-in-chronic-kidney-disease-ckd</w:t>
      </w:r>
    </w:p>
    <w:p>
      <w:pPr>
        <w:pStyle w:val="ListParagraph"/>
        <w:numPr>
          <w:ilvl w:val="0"/>
          <w:numId w:val="2"/>
        </w:numPr>
        <w:spacing w:after="40" w:line="260"/>
      </w:pPr>
      <w:r>
        <w:rPr>
          <w:sz w:val="18"/>
          <w:szCs w:val="18"/>
        </w:rPr>
        <w:t xml:space="preserve">ACC journal scan of SURPASS-CVOT: https://www.acc.org/Latest-in-Cardiology/Journal-Scans/2026/01/07/14/20/SURPASS-CVOT</w:t>
      </w:r>
    </w:p>
    <w:p>
      <w:pPr>
        <w:pStyle w:val="ListParagraph"/>
        <w:numPr>
          <w:ilvl w:val="0"/>
          <w:numId w:val="2"/>
        </w:numPr>
        <w:spacing w:after="40" w:line="260"/>
      </w:pPr>
      <w:r>
        <w:rPr>
          <w:sz w:val="18"/>
          <w:szCs w:val="18"/>
        </w:rPr>
        <w:t xml:space="preserve">HealthDay report on Lukac et al.: https://www.healthday.com/healthpro-news/general-health/ai-based-ambient-scribes-may-reduce-physician-documentation-time-burnout</w:t>
      </w:r>
    </w:p>
    <w:p>
      <w:pPr>
        <w:pStyle w:val="ListParagraph"/>
        <w:numPr>
          <w:ilvl w:val="0"/>
          <w:numId w:val="2"/>
        </w:numPr>
        <w:spacing w:after="40" w:line="260"/>
      </w:pPr>
      <w:r>
        <w:rPr>
          <w:sz w:val="18"/>
          <w:szCs w:val="18"/>
        </w:rPr>
        <w:t xml:space="preserve">Consultant360 summary of Afshar et al.: https://www.consultant360.com/exclusive/ambient-ai-scribes-linked-lower-work-exhaustion-multistate-pragmatic-trial</w:t>
      </w:r>
    </w:p>
    <w:p>
      <w:pPr>
        <w:pStyle w:val="ListParagraph"/>
        <w:numPr>
          <w:ilvl w:val="0"/>
          <w:numId w:val="2"/>
        </w:numPr>
        <w:spacing w:after="40" w:line="260"/>
      </w:pPr>
      <w:r>
        <w:rPr>
          <w:sz w:val="18"/>
          <w:szCs w:val="18"/>
        </w:rPr>
        <w:t xml:space="preserve">UChicago Knowledge record for Olson et al.: https://knowledge.uchicago.edu/records/xsrv2-zz339</w:t>
      </w:r>
    </w:p>
    <w:p>
      <w:pPr>
        <w:pStyle w:val="Heading1"/>
        <w:keepNext/>
      </w:pPr>
      <w:r>
        <w:t xml:space="preserve">Appendix C: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873"/>
        <w:gridCol w:w="1000"/>
        <w:gridCol w:w="3873"/>
      </w:tblGrid>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ADA</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American Diabetes Association</w:t>
            </w:r>
          </w:p>
        </w:tc>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HbA1c</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Glycated hemoglobin (3-month glucose marker)</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ASCVD</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Atherosclerotic cardiovascular disease</w:t>
            </w:r>
          </w:p>
        </w:tc>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HF</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Heart failure</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CGM</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Continuous glucose monitoring</w:t>
            </w:r>
          </w:p>
        </w:tc>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LMIC</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Low- and middle-income country</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CKD</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Chronic kidney disease</w:t>
            </w:r>
          </w:p>
        </w:tc>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MACE</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Major adverse cardiovascular events</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eGFR</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Estimated glomerular filtration rate</w:t>
            </w:r>
          </w:p>
        </w:tc>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SC</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Subcutaneous</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GLP-1</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Glucagon-like peptide-1</w:t>
            </w:r>
          </w:p>
        </w:tc>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T2DM</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Type 2 diabetes mellitus</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GIP</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Glucose-dependent insulinotropic polypeptide</w:t>
            </w:r>
          </w:p>
        </w:tc>
        <w:tc>
          <w:tcPr>
            <w:tcW w:type="dxa" w:w="1000"/>
            <w:tcBorders>
              <w:top w:val="single" w:color="BFBFBF" w:sz="4"/>
              <w:left w:val="single" w:color="BFBFBF" w:sz="4"/>
              <w:bottom w:val="single" w:color="BFBFBF" w:sz="4"/>
              <w:right w:val="single" w:color="BFBFBF" w:sz="4"/>
            </w:tcBorders>
            <w:shd w:fill="EAF1F8" w:color="auto" w:val="clear"/>
            <w:tcMar>
              <w:top w:type="dxa" w:w="60"/>
              <w:left w:type="dxa" w:w="100"/>
              <w:bottom w:type="dxa" w:w="60"/>
              <w:right w:type="dxa" w:w="100"/>
            </w:tcMar>
          </w:tcPr>
          <w:p>
            <w:pPr>
              <w:spacing w:after="0" w:before="0" w:line="285"/>
            </w:pPr>
            <w:r>
              <w:rPr>
                <w:b/>
                <w:bCs/>
                <w:sz w:val="19"/>
                <w:szCs w:val="19"/>
              </w:rPr>
              <w:t xml:space="preserve">UACR</w:t>
            </w:r>
          </w:p>
        </w:tc>
        <w:tc>
          <w:tcPr>
            <w:tcW w:type="dxa" w:w="3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85"/>
            </w:pPr>
            <w:r>
              <w:rPr>
                <w:b w:val="false"/>
                <w:bCs w:val="false"/>
                <w:sz w:val="19"/>
                <w:szCs w:val="19"/>
              </w:rPr>
              <w:t xml:space="preserve">Urine albumin-to-creatinine ratio</w:t>
            </w:r>
          </w:p>
        </w:tc>
      </w:tr>
    </w:tbl>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Public Literature Research Report: Type 2 Diabetes Mellitus   |   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560" w:hanging="5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B7D1" w:sz="6" w:space="2"/>
      </w:pBdr>
      <w:spacing w:after="120" w:before="30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Literature Research Report: Type 2 Diabetes Mellitus</dc:title>
  <dc:creator>Clinical Research Scribe Intern</dc:creator>
  <cp:lastModifiedBy>Un-named</cp:lastModifiedBy>
  <cp:revision>1</cp:revision>
  <dcterms:created xsi:type="dcterms:W3CDTF">2026-10-17T15:00:03.735Z</dcterms:created>
  <dcterms:modified xsi:type="dcterms:W3CDTF">2026-10-17T15:00:03.735Z</dcterms:modified>
</cp:coreProperties>
</file>

<file path=docProps/custom.xml><?xml version="1.0" encoding="utf-8"?>
<Properties xmlns="http://schemas.openxmlformats.org/officeDocument/2006/custom-properties" xmlns:vt="http://schemas.openxmlformats.org/officeDocument/2006/docPropsVTypes"/>
</file>