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[Proyecto académico de gestión, marketing o finanzas]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[Herramienta de análisis y nivel]</w:t>
      </w:r>
    </w:p>
    <w:p>
      <w:pPr>
        <w:spacing w:after="100" w:line="260"/>
      </w:pPr>
      <w:r>
        <w:t xml:space="preserve">[Competencia en gestión o finanzas]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2026-09-09T22:45:32.110Z</dcterms:created>
  <dcterms:modified xsi:type="dcterms:W3CDTF">2026-09-09T22:45:32.110Z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