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4"/>
          <w:szCs w:val="44"/>
        </w:rPr>
        <w:t xml:space="preserve">Hotel Bookings Dataset</w:t>
      </w:r>
    </w:p>
    <w:p>
      <w:pPr>
        <w:spacing w:after="200"/>
      </w:pPr>
      <w:r>
        <w:rPr>
          <w:b/>
          <w:bCs/>
          <w:color w:val="2E75B6"/>
          <w:sz w:val="28"/>
          <w:szCs w:val="28"/>
        </w:rPr>
        <w:t xml:space="preserve">Data Cleaning &amp; Pre-Processing Report</w:t>
      </w:r>
    </w:p>
    <w:p>
      <w:pPr>
        <w:spacing w:after="160" w:line="276"/>
        <w:jc w:val="both"/>
      </w:pPr>
      <w:r>
        <w:rPr>
          <w:color w:val="222222"/>
          <w:sz w:val="21"/>
          <w:szCs w:val="21"/>
        </w:rPr>
        <w:t xml:space="preserve">A detailed account of the methods, transformations, and validations applied to prepare the hotel bookings dataset for analysis.</w:t>
      </w:r>
    </w:p>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gridCol w:w="100"/>
      </w:tblGrid>
      <w:tr>
        <w:tc>
          <w:tcPr>
            <w:tcW w:type="auto" w:w="20"/>
            <w:tcBorders>
              <w:top w:val="single" w:color="BFD3E8" w:sz="4"/>
              <w:left w:val="single" w:color="BFD3E8" w:sz="4"/>
              <w:bottom w:val="single" w:color="BFD3E8" w:sz="4"/>
              <w:right w:val="single" w:color="BFD3E8" w:sz="4"/>
            </w:tcBorders>
            <w:shd w:fill="F2F6FB" w:color="auto" w:val="clear"/>
            <w:tcMar>
              <w:top w:type="dxa" w:w="160"/>
              <w:left w:type="dxa" w:w="80"/>
              <w:bottom w:type="dxa" w:w="160"/>
              <w:right w:type="dxa" w:w="80"/>
            </w:tcMar>
          </w:tcPr>
          <w:p>
            <w:pPr>
              <w:spacing w:after="40"/>
              <w:jc w:val="center"/>
            </w:pPr>
            <w:r>
              <w:rPr>
                <w:b/>
                <w:bCs/>
                <w:color w:val="1F3864"/>
                <w:sz w:val="22"/>
                <w:szCs w:val="22"/>
              </w:rPr>
              <w:t xml:space="preserve">119,390</w:t>
            </w:r>
          </w:p>
          <w:p>
            <w:pPr>
              <w:jc w:val="center"/>
            </w:pPr>
            <w:r>
              <w:rPr>
                <w:color w:val="555555"/>
                <w:sz w:val="16"/>
                <w:szCs w:val="16"/>
              </w:rPr>
              <w:t xml:space="preserve">Original Records</w:t>
            </w:r>
          </w:p>
        </w:tc>
        <w:tc>
          <w:tcPr>
            <w:tcW w:type="auto" w:w="20"/>
            <w:tcBorders>
              <w:top w:val="single" w:color="BFD3E8" w:sz="4"/>
              <w:left w:val="single" w:color="BFD3E8" w:sz="4"/>
              <w:bottom w:val="single" w:color="BFD3E8" w:sz="4"/>
              <w:right w:val="single" w:color="BFD3E8" w:sz="4"/>
            </w:tcBorders>
            <w:shd w:fill="F2F6FB" w:color="auto" w:val="clear"/>
            <w:tcMar>
              <w:top w:type="dxa" w:w="160"/>
              <w:left w:type="dxa" w:w="80"/>
              <w:bottom w:type="dxa" w:w="160"/>
              <w:right w:type="dxa" w:w="80"/>
            </w:tcMar>
          </w:tcPr>
          <w:p>
            <w:pPr>
              <w:spacing w:after="40"/>
              <w:jc w:val="center"/>
            </w:pPr>
            <w:r>
              <w:rPr>
                <w:b/>
                <w:bCs/>
                <w:color w:val="1F3864"/>
                <w:sz w:val="22"/>
                <w:szCs w:val="22"/>
              </w:rPr>
              <w:t xml:space="preserve">32</w:t>
            </w:r>
          </w:p>
          <w:p>
            <w:pPr>
              <w:jc w:val="center"/>
            </w:pPr>
            <w:r>
              <w:rPr>
                <w:color w:val="555555"/>
                <w:sz w:val="16"/>
                <w:szCs w:val="16"/>
              </w:rPr>
              <w:t xml:space="preserve">Original Columns</w:t>
            </w:r>
          </w:p>
        </w:tc>
        <w:tc>
          <w:tcPr>
            <w:tcW w:type="auto" w:w="20"/>
            <w:tcBorders>
              <w:top w:val="single" w:color="BFD3E8" w:sz="4"/>
              <w:left w:val="single" w:color="BFD3E8" w:sz="4"/>
              <w:bottom w:val="single" w:color="BFD3E8" w:sz="4"/>
              <w:right w:val="single" w:color="BFD3E8" w:sz="4"/>
            </w:tcBorders>
            <w:shd w:fill="F2F6FB" w:color="auto" w:val="clear"/>
            <w:tcMar>
              <w:top w:type="dxa" w:w="160"/>
              <w:left w:type="dxa" w:w="80"/>
              <w:bottom w:type="dxa" w:w="160"/>
              <w:right w:type="dxa" w:w="80"/>
            </w:tcMar>
          </w:tcPr>
          <w:p>
            <w:pPr>
              <w:spacing w:after="40"/>
              <w:jc w:val="center"/>
            </w:pPr>
            <w:r>
              <w:rPr>
                <w:b/>
                <w:bCs/>
                <w:color w:val="1F3864"/>
                <w:sz w:val="22"/>
                <w:szCs w:val="22"/>
              </w:rPr>
              <w:t xml:space="preserve">87,203</w:t>
            </w:r>
          </w:p>
          <w:p>
            <w:pPr>
              <w:jc w:val="center"/>
            </w:pPr>
            <w:r>
              <w:rPr>
                <w:color w:val="555555"/>
                <w:sz w:val="16"/>
                <w:szCs w:val="16"/>
              </w:rPr>
              <w:t xml:space="preserve">Final Records</w:t>
            </w:r>
          </w:p>
        </w:tc>
        <w:tc>
          <w:tcPr>
            <w:tcW w:type="auto" w:w="20"/>
            <w:tcBorders>
              <w:top w:val="single" w:color="BFD3E8" w:sz="4"/>
              <w:left w:val="single" w:color="BFD3E8" w:sz="4"/>
              <w:bottom w:val="single" w:color="BFD3E8" w:sz="4"/>
              <w:right w:val="single" w:color="BFD3E8" w:sz="4"/>
            </w:tcBorders>
            <w:shd w:fill="F2F6FB" w:color="auto" w:val="clear"/>
            <w:tcMar>
              <w:top w:type="dxa" w:w="160"/>
              <w:left w:type="dxa" w:w="80"/>
              <w:bottom w:type="dxa" w:w="160"/>
              <w:right w:type="dxa" w:w="80"/>
            </w:tcMar>
          </w:tcPr>
          <w:p>
            <w:pPr>
              <w:spacing w:after="40"/>
              <w:jc w:val="center"/>
            </w:pPr>
            <w:r>
              <w:rPr>
                <w:b/>
                <w:bCs/>
                <w:color w:val="1F3864"/>
                <w:sz w:val="22"/>
                <w:szCs w:val="22"/>
              </w:rPr>
              <w:t xml:space="preserve">36</w:t>
            </w:r>
          </w:p>
          <w:p>
            <w:pPr>
              <w:jc w:val="center"/>
            </w:pPr>
            <w:r>
              <w:rPr>
                <w:color w:val="555555"/>
                <w:sz w:val="16"/>
                <w:szCs w:val="16"/>
              </w:rPr>
              <w:t xml:space="preserve">Final Columns</w:t>
            </w:r>
          </w:p>
        </w:tc>
        <w:tc>
          <w:tcPr>
            <w:tcW w:type="auto" w:w="20"/>
            <w:tcBorders>
              <w:top w:val="single" w:color="BFD3E8" w:sz="4"/>
              <w:left w:val="single" w:color="BFD3E8" w:sz="4"/>
              <w:bottom w:val="single" w:color="BFD3E8" w:sz="4"/>
              <w:right w:val="single" w:color="BFD3E8" w:sz="4"/>
            </w:tcBorders>
            <w:shd w:fill="F2F6FB" w:color="auto" w:val="clear"/>
            <w:tcMar>
              <w:top w:type="dxa" w:w="160"/>
              <w:left w:type="dxa" w:w="80"/>
              <w:bottom w:type="dxa" w:w="160"/>
              <w:right w:type="dxa" w:w="80"/>
            </w:tcMar>
          </w:tcPr>
          <w:p>
            <w:pPr>
              <w:spacing w:after="40"/>
              <w:jc w:val="center"/>
            </w:pPr>
            <w:r>
              <w:rPr>
                <w:b/>
                <w:bCs/>
                <w:color w:val="1F3864"/>
                <w:sz w:val="22"/>
                <w:szCs w:val="22"/>
              </w:rPr>
              <w:t xml:space="preserve">Python</w:t>
            </w:r>
          </w:p>
          <w:p>
            <w:pPr>
              <w:jc w:val="center"/>
            </w:pPr>
            <w:r>
              <w:rPr>
                <w:color w:val="555555"/>
                <w:sz w:val="16"/>
                <w:szCs w:val="16"/>
              </w:rPr>
              <w:t xml:space="preserve">Tooling</w:t>
            </w:r>
          </w:p>
        </w:tc>
      </w:tr>
    </w:tbl>
    <w:p>
      <w:pPr>
        <w:spacing w:after="240"/>
      </w:pPr>
      <w:r>
        <w:rPr>
          <w:i/>
          <w:iCs/>
          <w:color w:val="666666"/>
          <w:sz w:val="18"/>
          <w:szCs w:val="18"/>
        </w:rPr>
        <w:t xml:space="preserve">Source File: hotel_bookings.csv    |    Tooling: Python, pandas, matplotlib</w:t>
      </w:r>
    </w:p>
    <w:p>
      <w:pPr>
        <w:pStyle w:val="Heading1"/>
        <w:pBdr>
          <w:bottom w:val="single" w:color="1F3864" w:sz="6" w:space="4"/>
        </w:pBdr>
        <w:spacing w:after="160" w:before="320"/>
      </w:pPr>
      <w:r>
        <w:rPr>
          <w:b/>
          <w:bCs/>
          <w:color w:val="1F3864"/>
          <w:sz w:val="30"/>
          <w:szCs w:val="30"/>
        </w:rPr>
        <w:t xml:space="preserve">1. Overview</w:t>
      </w:r>
    </w:p>
    <w:p>
      <w:pPr>
        <w:spacing w:after="160" w:line="276"/>
        <w:jc w:val="both"/>
      </w:pPr>
      <w:r>
        <w:rPr>
          <w:color w:val="222222"/>
          <w:sz w:val="21"/>
          <w:szCs w:val="21"/>
        </w:rPr>
        <w:t xml:space="preserve">This report documents the data cleaning and pre-processing workflow applied to the hotel_bookings dataset, a collection of booking records from two hotel properties (a City Hotel and a Resort Hotel). The raw dataset contained 119,390 records across 32 columns. The objective was to identify and resolve data quality issues — missing values, duplicate records, invalid entries, and statistical outliers — and to convert columns into appropriate data types. Feature engineering was then performed to derive additional useful attributes. The final, cleaned dataset contains 87,203 records and 36 columns.</w:t>
      </w:r>
    </w:p>
    <w:p>
      <w:pPr>
        <w:pStyle w:val="Heading2"/>
        <w:spacing w:after="120" w:before="260"/>
      </w:pPr>
      <w:r>
        <w:rPr>
          <w:b/>
          <w:bCs/>
          <w:color w:val="1F3864"/>
          <w:sz w:val="24"/>
          <w:szCs w:val="24"/>
        </w:rPr>
        <w:t xml:space="preserve">1.1 Processing Pipeline</w:t>
      </w:r>
    </w:p>
    <w:p>
      <w:pPr>
        <w:pStyle w:val="ListParagraph"/>
        <w:numPr>
          <w:ilvl w:val="0"/>
          <w:numId w:val="2"/>
        </w:numPr>
        <w:spacing w:after="80"/>
      </w:pPr>
      <w:r>
        <w:rPr>
          <w:color w:val="222222"/>
          <w:sz w:val="21"/>
          <w:szCs w:val="21"/>
        </w:rPr>
        <w:t xml:space="preserve">Data Exploration — inspect shape, data types, summary statistics, and missing values</w:t>
      </w:r>
    </w:p>
    <w:p>
      <w:pPr>
        <w:pStyle w:val="ListParagraph"/>
        <w:numPr>
          <w:ilvl w:val="0"/>
          <w:numId w:val="2"/>
        </w:numPr>
        <w:spacing w:after="80"/>
      </w:pPr>
      <w:r>
        <w:rPr>
          <w:color w:val="222222"/>
          <w:sz w:val="21"/>
          <w:szCs w:val="21"/>
        </w:rPr>
        <w:t xml:space="preserve">Missing Value Treatment — impute or drop columns/rows with missing data</w:t>
      </w:r>
    </w:p>
    <w:p>
      <w:pPr>
        <w:pStyle w:val="ListParagraph"/>
        <w:numPr>
          <w:ilvl w:val="0"/>
          <w:numId w:val="2"/>
        </w:numPr>
        <w:spacing w:after="80"/>
      </w:pPr>
      <w:r>
        <w:rPr>
          <w:color w:val="222222"/>
          <w:sz w:val="21"/>
          <w:szCs w:val="21"/>
        </w:rPr>
        <w:t xml:space="preserve">Duplicate Removal — drop exact duplicate records</w:t>
      </w:r>
    </w:p>
    <w:p>
      <w:pPr>
        <w:pStyle w:val="ListParagraph"/>
        <w:numPr>
          <w:ilvl w:val="0"/>
          <w:numId w:val="2"/>
        </w:numPr>
        <w:spacing w:after="80"/>
      </w:pPr>
      <w:r>
        <w:rPr>
          <w:color w:val="222222"/>
          <w:sz w:val="21"/>
          <w:szCs w:val="21"/>
        </w:rPr>
        <w:t xml:space="preserve">Invalid Record Removal — remove zero-guest bookings and negative rate values</w:t>
      </w:r>
    </w:p>
    <w:p>
      <w:pPr>
        <w:pStyle w:val="ListParagraph"/>
        <w:numPr>
          <w:ilvl w:val="0"/>
          <w:numId w:val="2"/>
        </w:numPr>
        <w:spacing w:after="80"/>
      </w:pPr>
      <w:r>
        <w:rPr>
          <w:color w:val="222222"/>
          <w:sz w:val="21"/>
          <w:szCs w:val="21"/>
        </w:rPr>
        <w:t xml:space="preserve">Outlier Detection &amp; Treatment — identify outliers via IQR, cap extreme values</w:t>
      </w:r>
    </w:p>
    <w:p>
      <w:pPr>
        <w:pStyle w:val="ListParagraph"/>
        <w:numPr>
          <w:ilvl w:val="0"/>
          <w:numId w:val="2"/>
        </w:numPr>
        <w:spacing w:after="80"/>
      </w:pPr>
      <w:r>
        <w:rPr>
          <w:color w:val="222222"/>
          <w:sz w:val="21"/>
          <w:szCs w:val="21"/>
        </w:rPr>
        <w:t xml:space="preserve">Data Type Conversion — convert categorical columns, fix numeric types, build a date column</w:t>
      </w:r>
    </w:p>
    <w:p>
      <w:pPr>
        <w:pStyle w:val="ListParagraph"/>
        <w:numPr>
          <w:ilvl w:val="0"/>
          <w:numId w:val="2"/>
        </w:numPr>
        <w:spacing w:after="80"/>
      </w:pPr>
      <w:r>
        <w:rPr>
          <w:color w:val="222222"/>
          <w:sz w:val="21"/>
          <w:szCs w:val="21"/>
        </w:rPr>
        <w:t xml:space="preserve">Feature Engineering — derive new columns for downstream analysis</w:t>
      </w:r>
    </w:p>
    <w:p>
      <w:pPr>
        <w:pStyle w:val="ListParagraph"/>
        <w:numPr>
          <w:ilvl w:val="0"/>
          <w:numId w:val="2"/>
        </w:numPr>
        <w:spacing w:after="80"/>
      </w:pPr>
      <w:r>
        <w:rPr>
          <w:color w:val="222222"/>
          <w:sz w:val="21"/>
          <w:szCs w:val="21"/>
        </w:rPr>
        <w:t xml:space="preserve">Revalidation — re-check shape, types, and nulls to confirm a clean output</w:t>
      </w:r>
    </w:p>
    <w:p>
      <w:pPr>
        <w:pStyle w:val="Heading1"/>
        <w:pBdr>
          <w:bottom w:val="single" w:color="1F3864" w:sz="6" w:space="4"/>
        </w:pBdr>
        <w:spacing w:after="160" w:before="320"/>
      </w:pPr>
      <w:r>
        <w:rPr>
          <w:b/>
          <w:bCs/>
          <w:color w:val="1F3864"/>
          <w:sz w:val="30"/>
          <w:szCs w:val="30"/>
        </w:rPr>
        <w:t xml:space="preserve">2. Initial Data Assessment</w:t>
      </w:r>
    </w:p>
    <w:p>
      <w:pPr>
        <w:spacing w:after="160" w:line="276"/>
        <w:jc w:val="both"/>
      </w:pPr>
      <w:r>
        <w:rPr>
          <w:color w:val="222222"/>
          <w:sz w:val="21"/>
          <w:szCs w:val="21"/>
        </w:rPr>
        <w:t xml:space="preserve">Before any cleaning, the raw dataset was inspected using df.info(), df.describe(), and df.isnull().sum(). This revealed missing values in four columns and 31,994 exact duplicate rows.</w:t>
      </w:r>
    </w:p>
    <w:p>
      <w:pPr>
        <w:pStyle w:val="Heading2"/>
        <w:spacing w:after="120" w:before="260"/>
      </w:pPr>
      <w:r>
        <w:rPr>
          <w:b/>
          <w:bCs/>
          <w:color w:val="1F3864"/>
          <w:sz w:val="24"/>
          <w:szCs w:val="24"/>
        </w:rPr>
        <w:t xml:space="preserve">2.1 Missing Values in Raw Data</w:t>
      </w:r>
    </w:p>
    <w:tbl>
      <w:tblPr>
        <w:tblW w:type="auto" w:w="100"/>
        <w:tblBorders>
          <w:top w:val="single" w:color="BFBFBF" w:sz="4"/>
          <w:left w:val="single" w:color="BFBFBF" w:sz="4"/>
          <w:bottom w:val="single" w:color="BFBFBF" w:sz="4"/>
          <w:right w:val="single" w:color="BFBFBF" w:sz="4"/>
          <w:insideH w:val="single" w:color="D9D9D9" w:sz="4"/>
          <w:insideV w:val="single" w:color="D9D9D9" w:sz="4"/>
        </w:tblBorders>
      </w:tblPr>
      <w:tblGrid>
        <w:gridCol w:w="100"/>
        <w:gridCol w:w="100"/>
        <w:gridCol w:w="100"/>
        <w:gridCol w:w="100"/>
      </w:tblGrid>
      <w:tr>
        <w:trPr>
          <w:tblHeader/>
        </w:trPr>
        <w:tc>
          <w:tcPr>
            <w:tcW w:type="auto" w:w="16"/>
            <w:shd w:fill="1F3864" w:color="auto" w:val="clear"/>
            <w:tcMar>
              <w:top w:type="dxa" w:w="80"/>
              <w:left w:type="dxa" w:w="120"/>
              <w:bottom w:type="dxa" w:w="80"/>
              <w:right w:type="dxa" w:w="120"/>
            </w:tcMar>
            <w:vAlign w:val="center"/>
          </w:tcPr>
          <w:p>
            <w:pPr>
              <w:jc w:val="center"/>
            </w:pPr>
            <w:r>
              <w:rPr>
                <w:b/>
                <w:bCs/>
                <w:color w:val="FFFFFF"/>
                <w:sz w:val="20"/>
                <w:szCs w:val="20"/>
              </w:rPr>
              <w:t xml:space="preserve">Column</w:t>
            </w:r>
          </w:p>
        </w:tc>
        <w:tc>
          <w:tcPr>
            <w:tcW w:type="auto" w:w="12"/>
            <w:shd w:fill="1F3864" w:color="auto" w:val="clear"/>
            <w:tcMar>
              <w:top w:type="dxa" w:w="80"/>
              <w:left w:type="dxa" w:w="120"/>
              <w:bottom w:type="dxa" w:w="80"/>
              <w:right w:type="dxa" w:w="120"/>
            </w:tcMar>
            <w:vAlign w:val="center"/>
          </w:tcPr>
          <w:p>
            <w:pPr>
              <w:jc w:val="center"/>
            </w:pPr>
            <w:r>
              <w:rPr>
                <w:b/>
                <w:bCs/>
                <w:color w:val="FFFFFF"/>
                <w:sz w:val="20"/>
                <w:szCs w:val="20"/>
              </w:rPr>
              <w:t xml:space="preserve">Missing</w:t>
            </w:r>
          </w:p>
        </w:tc>
        <w:tc>
          <w:tcPr>
            <w:tcW w:type="auto" w:w="14"/>
            <w:shd w:fill="1F3864" w:color="auto" w:val="clear"/>
            <w:tcMar>
              <w:top w:type="dxa" w:w="80"/>
              <w:left w:type="dxa" w:w="120"/>
              <w:bottom w:type="dxa" w:w="80"/>
              <w:right w:type="dxa" w:w="120"/>
            </w:tcMar>
            <w:vAlign w:val="center"/>
          </w:tcPr>
          <w:p>
            <w:pPr>
              <w:jc w:val="center"/>
            </w:pPr>
            <w:r>
              <w:rPr>
                <w:b/>
                <w:bCs/>
                <w:color w:val="FFFFFF"/>
                <w:sz w:val="20"/>
                <w:szCs w:val="20"/>
              </w:rPr>
              <w:t xml:space="preserve">% of Records</w:t>
            </w:r>
          </w:p>
        </w:tc>
        <w:tc>
          <w:tcPr>
            <w:tcW w:type="auto" w:w="58"/>
            <w:shd w:fill="1F3864" w:color="auto" w:val="clear"/>
            <w:tcMar>
              <w:top w:type="dxa" w:w="80"/>
              <w:left w:type="dxa" w:w="120"/>
              <w:bottom w:type="dxa" w:w="80"/>
              <w:right w:type="dxa" w:w="120"/>
            </w:tcMar>
            <w:vAlign w:val="center"/>
          </w:tcPr>
          <w:p>
            <w:pPr>
              <w:jc w:val="center"/>
            </w:pPr>
            <w:r>
              <w:rPr>
                <w:b/>
                <w:bCs/>
                <w:color w:val="FFFFFF"/>
                <w:sz w:val="20"/>
                <w:szCs w:val="20"/>
              </w:rPr>
              <w:t xml:space="preserve">Nature of Column</w:t>
            </w:r>
          </w:p>
        </w:tc>
      </w:tr>
      <w:tr>
        <w:tc>
          <w:tcPr>
            <w:tcW w:type="auto" w:w="16"/>
            <w:tcMar>
              <w:top w:type="dxa" w:w="80"/>
              <w:left w:type="dxa" w:w="120"/>
              <w:bottom w:type="dxa" w:w="80"/>
              <w:right w:type="dxa" w:w="120"/>
            </w:tcMar>
            <w:vAlign w:val="center"/>
          </w:tcPr>
          <w:p>
            <w:pPr>
              <w:jc w:val="left"/>
            </w:pPr>
            <w:r>
              <w:rPr>
                <w:b w:val="false"/>
                <w:bCs w:val="false"/>
                <w:color w:val="222222"/>
                <w:sz w:val="20"/>
                <w:szCs w:val="20"/>
              </w:rPr>
              <w:t xml:space="preserve">children</w:t>
            </w:r>
          </w:p>
        </w:tc>
        <w:tc>
          <w:tcPr>
            <w:tcW w:type="auto" w:w="12"/>
            <w:tcMar>
              <w:top w:type="dxa" w:w="80"/>
              <w:left w:type="dxa" w:w="120"/>
              <w:bottom w:type="dxa" w:w="80"/>
              <w:right w:type="dxa" w:w="120"/>
            </w:tcMar>
            <w:vAlign w:val="center"/>
          </w:tcPr>
          <w:p>
            <w:pPr>
              <w:jc w:val="center"/>
            </w:pPr>
            <w:r>
              <w:rPr>
                <w:b w:val="false"/>
                <w:bCs w:val="false"/>
                <w:color w:val="222222"/>
                <w:sz w:val="20"/>
                <w:szCs w:val="20"/>
              </w:rPr>
              <w:t xml:space="preserve">4</w:t>
            </w:r>
          </w:p>
        </w:tc>
        <w:tc>
          <w:tcPr>
            <w:tcW w:type="auto" w:w="14"/>
            <w:tcMar>
              <w:top w:type="dxa" w:w="80"/>
              <w:left w:type="dxa" w:w="120"/>
              <w:bottom w:type="dxa" w:w="80"/>
              <w:right w:type="dxa" w:w="120"/>
            </w:tcMar>
            <w:vAlign w:val="center"/>
          </w:tcPr>
          <w:p>
            <w:pPr>
              <w:jc w:val="center"/>
            </w:pPr>
            <w:r>
              <w:rPr>
                <w:b w:val="false"/>
                <w:bCs w:val="false"/>
                <w:color w:val="222222"/>
                <w:sz w:val="20"/>
                <w:szCs w:val="20"/>
              </w:rPr>
              <w:t xml:space="preserve">0.00%</w:t>
            </w:r>
          </w:p>
        </w:tc>
        <w:tc>
          <w:tcPr>
            <w:tcW w:type="auto" w:w="58"/>
            <w:tcMar>
              <w:top w:type="dxa" w:w="80"/>
              <w:left w:type="dxa" w:w="120"/>
              <w:bottom w:type="dxa" w:w="80"/>
              <w:right w:type="dxa" w:w="120"/>
            </w:tcMar>
            <w:vAlign w:val="center"/>
          </w:tcPr>
          <w:p>
            <w:pPr>
              <w:jc w:val="center"/>
            </w:pPr>
            <w:r>
              <w:rPr>
                <w:b w:val="false"/>
                <w:bCs w:val="false"/>
                <w:color w:val="222222"/>
                <w:sz w:val="20"/>
                <w:szCs w:val="20"/>
              </w:rPr>
              <w:t xml:space="preserve">Numeric — count of children per booking</w:t>
            </w:r>
          </w:p>
        </w:tc>
      </w:tr>
      <w:tr>
        <w:tc>
          <w:tcPr>
            <w:tcW w:type="auto" w:w="16"/>
            <w:shd w:fill="EAF3E8" w:color="auto" w:val="clear"/>
            <w:tcMar>
              <w:top w:type="dxa" w:w="80"/>
              <w:left w:type="dxa" w:w="120"/>
              <w:bottom w:type="dxa" w:w="80"/>
              <w:right w:type="dxa" w:w="120"/>
            </w:tcMar>
            <w:vAlign w:val="center"/>
          </w:tcPr>
          <w:p>
            <w:pPr>
              <w:jc w:val="left"/>
            </w:pPr>
            <w:r>
              <w:rPr>
                <w:b w:val="false"/>
                <w:bCs w:val="false"/>
                <w:color w:val="222222"/>
                <w:sz w:val="20"/>
                <w:szCs w:val="20"/>
              </w:rPr>
              <w:t xml:space="preserve">country</w:t>
            </w:r>
          </w:p>
        </w:tc>
        <w:tc>
          <w:tcPr>
            <w:tcW w:type="auto" w:w="12"/>
            <w:shd w:fill="EAF3E8" w:color="auto" w:val="clear"/>
            <w:tcMar>
              <w:top w:type="dxa" w:w="80"/>
              <w:left w:type="dxa" w:w="120"/>
              <w:bottom w:type="dxa" w:w="80"/>
              <w:right w:type="dxa" w:w="120"/>
            </w:tcMar>
            <w:vAlign w:val="center"/>
          </w:tcPr>
          <w:p>
            <w:pPr>
              <w:jc w:val="center"/>
            </w:pPr>
            <w:r>
              <w:rPr>
                <w:b w:val="false"/>
                <w:bCs w:val="false"/>
                <w:color w:val="222222"/>
                <w:sz w:val="20"/>
                <w:szCs w:val="20"/>
              </w:rPr>
              <w:t xml:space="preserve">488</w:t>
            </w:r>
          </w:p>
        </w:tc>
        <w:tc>
          <w:tcPr>
            <w:tcW w:type="auto" w:w="14"/>
            <w:shd w:fill="EAF3E8" w:color="auto" w:val="clear"/>
            <w:tcMar>
              <w:top w:type="dxa" w:w="80"/>
              <w:left w:type="dxa" w:w="120"/>
              <w:bottom w:type="dxa" w:w="80"/>
              <w:right w:type="dxa" w:w="120"/>
            </w:tcMar>
            <w:vAlign w:val="center"/>
          </w:tcPr>
          <w:p>
            <w:pPr>
              <w:jc w:val="center"/>
            </w:pPr>
            <w:r>
              <w:rPr>
                <w:b w:val="false"/>
                <w:bCs w:val="false"/>
                <w:color w:val="222222"/>
                <w:sz w:val="20"/>
                <w:szCs w:val="20"/>
              </w:rPr>
              <w:t xml:space="preserve">0.41%</w:t>
            </w:r>
          </w:p>
        </w:tc>
        <w:tc>
          <w:tcPr>
            <w:tcW w:type="auto" w:w="58"/>
            <w:shd w:fill="EAF3E8" w:color="auto" w:val="clear"/>
            <w:tcMar>
              <w:top w:type="dxa" w:w="80"/>
              <w:left w:type="dxa" w:w="120"/>
              <w:bottom w:type="dxa" w:w="80"/>
              <w:right w:type="dxa" w:w="120"/>
            </w:tcMar>
            <w:vAlign w:val="center"/>
          </w:tcPr>
          <w:p>
            <w:pPr>
              <w:jc w:val="center"/>
            </w:pPr>
            <w:r>
              <w:rPr>
                <w:b w:val="false"/>
                <w:bCs w:val="false"/>
                <w:color w:val="222222"/>
                <w:sz w:val="20"/>
                <w:szCs w:val="20"/>
              </w:rPr>
              <w:t xml:space="preserve">Categorical — guest country of origin</w:t>
            </w:r>
          </w:p>
        </w:tc>
      </w:tr>
      <w:tr>
        <w:tc>
          <w:tcPr>
            <w:tcW w:type="auto" w:w="16"/>
            <w:tcMar>
              <w:top w:type="dxa" w:w="80"/>
              <w:left w:type="dxa" w:w="120"/>
              <w:bottom w:type="dxa" w:w="80"/>
              <w:right w:type="dxa" w:w="120"/>
            </w:tcMar>
            <w:vAlign w:val="center"/>
          </w:tcPr>
          <w:p>
            <w:pPr>
              <w:jc w:val="left"/>
            </w:pPr>
            <w:r>
              <w:rPr>
                <w:b w:val="false"/>
                <w:bCs w:val="false"/>
                <w:color w:val="222222"/>
                <w:sz w:val="20"/>
                <w:szCs w:val="20"/>
              </w:rPr>
              <w:t xml:space="preserve">agent</w:t>
            </w:r>
          </w:p>
        </w:tc>
        <w:tc>
          <w:tcPr>
            <w:tcW w:type="auto" w:w="12"/>
            <w:tcMar>
              <w:top w:type="dxa" w:w="80"/>
              <w:left w:type="dxa" w:w="120"/>
              <w:bottom w:type="dxa" w:w="80"/>
              <w:right w:type="dxa" w:w="120"/>
            </w:tcMar>
            <w:vAlign w:val="center"/>
          </w:tcPr>
          <w:p>
            <w:pPr>
              <w:jc w:val="center"/>
            </w:pPr>
            <w:r>
              <w:rPr>
                <w:b w:val="false"/>
                <w:bCs w:val="false"/>
                <w:color w:val="222222"/>
                <w:sz w:val="20"/>
                <w:szCs w:val="20"/>
              </w:rPr>
              <w:t xml:space="preserve">16,340</w:t>
            </w:r>
          </w:p>
        </w:tc>
        <w:tc>
          <w:tcPr>
            <w:tcW w:type="auto" w:w="14"/>
            <w:tcMar>
              <w:top w:type="dxa" w:w="80"/>
              <w:left w:type="dxa" w:w="120"/>
              <w:bottom w:type="dxa" w:w="80"/>
              <w:right w:type="dxa" w:w="120"/>
            </w:tcMar>
            <w:vAlign w:val="center"/>
          </w:tcPr>
          <w:p>
            <w:pPr>
              <w:jc w:val="center"/>
            </w:pPr>
            <w:r>
              <w:rPr>
                <w:b w:val="false"/>
                <w:bCs w:val="false"/>
                <w:color w:val="222222"/>
                <w:sz w:val="20"/>
                <w:szCs w:val="20"/>
              </w:rPr>
              <w:t xml:space="preserve">13.69%</w:t>
            </w:r>
          </w:p>
        </w:tc>
        <w:tc>
          <w:tcPr>
            <w:tcW w:type="auto" w:w="58"/>
            <w:tcMar>
              <w:top w:type="dxa" w:w="80"/>
              <w:left w:type="dxa" w:w="120"/>
              <w:bottom w:type="dxa" w:w="80"/>
              <w:right w:type="dxa" w:w="120"/>
            </w:tcMar>
            <w:vAlign w:val="center"/>
          </w:tcPr>
          <w:p>
            <w:pPr>
              <w:jc w:val="center"/>
            </w:pPr>
            <w:r>
              <w:rPr>
                <w:b w:val="false"/>
                <w:bCs w:val="false"/>
                <w:color w:val="222222"/>
                <w:sz w:val="20"/>
                <w:szCs w:val="20"/>
              </w:rPr>
              <w:t xml:space="preserve">Numeric ID — travel agent that made the booking</w:t>
            </w:r>
          </w:p>
        </w:tc>
      </w:tr>
      <w:tr>
        <w:tc>
          <w:tcPr>
            <w:tcW w:type="auto" w:w="16"/>
            <w:shd w:fill="EAF3E8" w:color="auto" w:val="clear"/>
            <w:tcMar>
              <w:top w:type="dxa" w:w="80"/>
              <w:left w:type="dxa" w:w="120"/>
              <w:bottom w:type="dxa" w:w="80"/>
              <w:right w:type="dxa" w:w="120"/>
            </w:tcMar>
            <w:vAlign w:val="center"/>
          </w:tcPr>
          <w:p>
            <w:pPr>
              <w:jc w:val="left"/>
            </w:pPr>
            <w:r>
              <w:rPr>
                <w:b w:val="false"/>
                <w:bCs w:val="false"/>
                <w:color w:val="222222"/>
                <w:sz w:val="20"/>
                <w:szCs w:val="20"/>
              </w:rPr>
              <w:t xml:space="preserve">company</w:t>
            </w:r>
          </w:p>
        </w:tc>
        <w:tc>
          <w:tcPr>
            <w:tcW w:type="auto" w:w="12"/>
            <w:shd w:fill="EAF3E8" w:color="auto" w:val="clear"/>
            <w:tcMar>
              <w:top w:type="dxa" w:w="80"/>
              <w:left w:type="dxa" w:w="120"/>
              <w:bottom w:type="dxa" w:w="80"/>
              <w:right w:type="dxa" w:w="120"/>
            </w:tcMar>
            <w:vAlign w:val="center"/>
          </w:tcPr>
          <w:p>
            <w:pPr>
              <w:jc w:val="center"/>
            </w:pPr>
            <w:r>
              <w:rPr>
                <w:b w:val="false"/>
                <w:bCs w:val="false"/>
                <w:color w:val="222222"/>
                <w:sz w:val="20"/>
                <w:szCs w:val="20"/>
              </w:rPr>
              <w:t xml:space="preserve">112,593</w:t>
            </w:r>
          </w:p>
        </w:tc>
        <w:tc>
          <w:tcPr>
            <w:tcW w:type="auto" w:w="14"/>
            <w:shd w:fill="EAF3E8" w:color="auto" w:val="clear"/>
            <w:tcMar>
              <w:top w:type="dxa" w:w="80"/>
              <w:left w:type="dxa" w:w="120"/>
              <w:bottom w:type="dxa" w:w="80"/>
              <w:right w:type="dxa" w:w="120"/>
            </w:tcMar>
            <w:vAlign w:val="center"/>
          </w:tcPr>
          <w:p>
            <w:pPr>
              <w:jc w:val="center"/>
            </w:pPr>
            <w:r>
              <w:rPr>
                <w:b w:val="false"/>
                <w:bCs w:val="false"/>
                <w:color w:val="222222"/>
                <w:sz w:val="20"/>
                <w:szCs w:val="20"/>
              </w:rPr>
              <w:t xml:space="preserve">94.31%</w:t>
            </w:r>
          </w:p>
        </w:tc>
        <w:tc>
          <w:tcPr>
            <w:tcW w:type="auto" w:w="58"/>
            <w:shd w:fill="EAF3E8" w:color="auto" w:val="clear"/>
            <w:tcMar>
              <w:top w:type="dxa" w:w="80"/>
              <w:left w:type="dxa" w:w="120"/>
              <w:bottom w:type="dxa" w:w="80"/>
              <w:right w:type="dxa" w:w="120"/>
            </w:tcMar>
            <w:vAlign w:val="center"/>
          </w:tcPr>
          <w:p>
            <w:pPr>
              <w:jc w:val="center"/>
            </w:pPr>
            <w:r>
              <w:rPr>
                <w:b w:val="false"/>
                <w:bCs w:val="false"/>
                <w:color w:val="222222"/>
                <w:sz w:val="20"/>
                <w:szCs w:val="20"/>
              </w:rPr>
              <w:t xml:space="preserve">Numeric ID — company that made the booking</w:t>
            </w:r>
          </w:p>
        </w:tc>
      </w:tr>
    </w:tbl>
    <w:p>
      <w:pPr>
        <w:spacing w:after="200"/>
      </w:pPr>
    </w:p>
    <w:p>
      <w:pPr>
        <w:pStyle w:val="Heading2"/>
        <w:spacing w:after="120" w:before="260"/>
      </w:pPr>
      <w:r>
        <w:rPr>
          <w:b/>
          <w:bCs/>
          <w:color w:val="1F3864"/>
          <w:sz w:val="24"/>
          <w:szCs w:val="24"/>
        </w:rPr>
        <w:t xml:space="preserve">2.2 Other Data Quality Issues Identified</w:t>
      </w:r>
    </w:p>
    <w:p>
      <w:pPr>
        <w:pStyle w:val="ListParagraph"/>
        <w:numPr>
          <w:ilvl w:val="0"/>
          <w:numId w:val="3"/>
        </w:numPr>
        <w:spacing w:after="80"/>
      </w:pPr>
      <w:r>
        <w:rPr>
          <w:color w:val="222222"/>
          <w:sz w:val="21"/>
          <w:szCs w:val="21"/>
        </w:rPr>
        <w:t xml:space="preserve">31,994 duplicate records found via exact row comparison.</w:t>
      </w:r>
    </w:p>
    <w:p>
      <w:pPr>
        <w:pStyle w:val="ListParagraph"/>
        <w:numPr>
          <w:ilvl w:val="0"/>
          <w:numId w:val="3"/>
        </w:numPr>
        <w:spacing w:after="80"/>
      </w:pPr>
      <w:r>
        <w:rPr>
          <w:color w:val="222222"/>
          <w:sz w:val="21"/>
          <w:szCs w:val="21"/>
        </w:rPr>
        <w:t xml:space="preserve">180 bookings with zero adults, zero children, and zero babies (logically invalid).</w:t>
      </w:r>
    </w:p>
    <w:p>
      <w:pPr>
        <w:pStyle w:val="ListParagraph"/>
        <w:numPr>
          <w:ilvl w:val="0"/>
          <w:numId w:val="3"/>
        </w:numPr>
        <w:spacing w:after="80"/>
      </w:pPr>
      <w:r>
        <w:rPr>
          <w:color w:val="222222"/>
          <w:sz w:val="21"/>
          <w:szCs w:val="21"/>
        </w:rPr>
        <w:t xml:space="preserve">1 record with a negative Average Daily Rate (ADR), not physically meaningful.</w:t>
      </w:r>
    </w:p>
    <w:p>
      <w:pPr>
        <w:pStyle w:val="Heading1"/>
        <w:pBdr>
          <w:bottom w:val="single" w:color="1F3864" w:sz="6" w:space="4"/>
        </w:pBdr>
        <w:spacing w:after="160" w:before="320"/>
      </w:pPr>
      <w:r>
        <w:rPr>
          <w:b/>
          <w:bCs/>
          <w:color w:val="1F3864"/>
          <w:sz w:val="30"/>
          <w:szCs w:val="30"/>
        </w:rPr>
        <w:t xml:space="preserve">3. Handling Missing Values</w:t>
      </w:r>
    </w:p>
    <w:p>
      <w:pPr>
        <w:spacing w:after="160" w:line="276"/>
        <w:jc w:val="both"/>
      </w:pPr>
      <w:r>
        <w:rPr>
          <w:color w:val="222222"/>
          <w:sz w:val="21"/>
          <w:szCs w:val="21"/>
        </w:rPr>
        <w:t xml:space="preserve">Each column with missing data was treated using a strategy suited to its meaning and the proportion of missing records, rather than a single blanket rule.</w:t>
      </w:r>
    </w:p>
    <w:tbl>
      <w:tblPr>
        <w:tblW w:type="auto" w:w="100"/>
        <w:tblBorders>
          <w:top w:val="single" w:color="BFBFBF" w:sz="4"/>
          <w:left w:val="single" w:color="BFBFBF" w:sz="4"/>
          <w:bottom w:val="single" w:color="BFBFBF" w:sz="4"/>
          <w:right w:val="single" w:color="BFBFBF" w:sz="4"/>
          <w:insideH w:val="single" w:color="D9D9D9" w:sz="4"/>
          <w:insideV w:val="single" w:color="D9D9D9" w:sz="4"/>
        </w:tblBorders>
      </w:tblPr>
      <w:tblGrid>
        <w:gridCol w:w="100"/>
        <w:gridCol w:w="100"/>
        <w:gridCol w:w="100"/>
      </w:tblGrid>
      <w:tr>
        <w:trPr>
          <w:tblHeader/>
        </w:trPr>
        <w:tc>
          <w:tcPr>
            <w:tcW w:type="auto" w:w="14"/>
            <w:shd w:fill="1F3864" w:color="auto" w:val="clear"/>
            <w:tcMar>
              <w:top w:type="dxa" w:w="80"/>
              <w:left w:type="dxa" w:w="120"/>
              <w:bottom w:type="dxa" w:w="80"/>
              <w:right w:type="dxa" w:w="120"/>
            </w:tcMar>
            <w:vAlign w:val="center"/>
          </w:tcPr>
          <w:p>
            <w:pPr>
              <w:jc w:val="center"/>
            </w:pPr>
            <w:r>
              <w:rPr>
                <w:b/>
                <w:bCs/>
                <w:color w:val="FFFFFF"/>
                <w:sz w:val="20"/>
                <w:szCs w:val="20"/>
              </w:rPr>
              <w:t xml:space="preserve">Column</w:t>
            </w:r>
          </w:p>
        </w:tc>
        <w:tc>
          <w:tcPr>
            <w:tcW w:type="auto" w:w="22"/>
            <w:shd w:fill="1F3864" w:color="auto" w:val="clear"/>
            <w:tcMar>
              <w:top w:type="dxa" w:w="80"/>
              <w:left w:type="dxa" w:w="120"/>
              <w:bottom w:type="dxa" w:w="80"/>
              <w:right w:type="dxa" w:w="120"/>
            </w:tcMar>
            <w:vAlign w:val="center"/>
          </w:tcPr>
          <w:p>
            <w:pPr>
              <w:jc w:val="center"/>
            </w:pPr>
            <w:r>
              <w:rPr>
                <w:b/>
                <w:bCs/>
                <w:color w:val="FFFFFF"/>
                <w:sz w:val="20"/>
                <w:szCs w:val="20"/>
              </w:rPr>
              <w:t xml:space="preserve">Strategy</w:t>
            </w:r>
          </w:p>
        </w:tc>
        <w:tc>
          <w:tcPr>
            <w:tcW w:type="auto" w:w="64"/>
            <w:shd w:fill="1F3864" w:color="auto" w:val="clear"/>
            <w:tcMar>
              <w:top w:type="dxa" w:w="80"/>
              <w:left w:type="dxa" w:w="120"/>
              <w:bottom w:type="dxa" w:w="80"/>
              <w:right w:type="dxa" w:w="120"/>
            </w:tcMar>
            <w:vAlign w:val="center"/>
          </w:tcPr>
          <w:p>
            <w:pPr>
              <w:jc w:val="center"/>
            </w:pPr>
            <w:r>
              <w:rPr>
                <w:b/>
                <w:bCs/>
                <w:color w:val="FFFFFF"/>
                <w:sz w:val="20"/>
                <w:szCs w:val="20"/>
              </w:rPr>
              <w:t xml:space="preserve">Justification</w:t>
            </w:r>
          </w:p>
        </w:tc>
      </w:tr>
      <w:tr>
        <w:tc>
          <w:tcPr>
            <w:tcW w:type="auto" w:w="14"/>
            <w:tcMar>
              <w:top w:type="dxa" w:w="80"/>
              <w:left w:type="dxa" w:w="120"/>
              <w:bottom w:type="dxa" w:w="80"/>
              <w:right w:type="dxa" w:w="120"/>
            </w:tcMar>
            <w:vAlign w:val="center"/>
          </w:tcPr>
          <w:p>
            <w:pPr>
              <w:jc w:val="left"/>
            </w:pPr>
            <w:r>
              <w:rPr>
                <w:b w:val="false"/>
                <w:bCs w:val="false"/>
                <w:color w:val="222222"/>
                <w:sz w:val="20"/>
                <w:szCs w:val="20"/>
              </w:rPr>
              <w:t xml:space="preserve">children</w:t>
            </w:r>
          </w:p>
        </w:tc>
        <w:tc>
          <w:tcPr>
            <w:tcW w:type="auto" w:w="22"/>
            <w:tcMar>
              <w:top w:type="dxa" w:w="80"/>
              <w:left w:type="dxa" w:w="120"/>
              <w:bottom w:type="dxa" w:w="80"/>
              <w:right w:type="dxa" w:w="120"/>
            </w:tcMar>
            <w:vAlign w:val="center"/>
          </w:tcPr>
          <w:p>
            <w:pPr>
              <w:jc w:val="center"/>
            </w:pPr>
            <w:r>
              <w:rPr>
                <w:b w:val="false"/>
                <w:bCs w:val="false"/>
                <w:color w:val="222222"/>
                <w:sz w:val="20"/>
                <w:szCs w:val="20"/>
              </w:rPr>
              <w:t xml:space="preserve">Filled with 0</w:t>
            </w:r>
          </w:p>
        </w:tc>
        <w:tc>
          <w:tcPr>
            <w:tcW w:type="auto" w:w="64"/>
            <w:tcMar>
              <w:top w:type="dxa" w:w="80"/>
              <w:left w:type="dxa" w:w="120"/>
              <w:bottom w:type="dxa" w:w="80"/>
              <w:right w:type="dxa" w:w="120"/>
            </w:tcMar>
            <w:vAlign w:val="center"/>
          </w:tcPr>
          <w:p>
            <w:pPr>
              <w:jc w:val="center"/>
            </w:pPr>
            <w:r>
              <w:rPr>
                <w:b w:val="false"/>
                <w:bCs w:val="false"/>
                <w:color w:val="222222"/>
                <w:sz w:val="20"/>
                <w:szCs w:val="20"/>
              </w:rPr>
              <w:t xml:space="preserve">Only 4 records affected (negligible); a missing children count most plausibly means no children were on the booking.</w:t>
            </w:r>
          </w:p>
        </w:tc>
      </w:tr>
      <w:tr>
        <w:tc>
          <w:tcPr>
            <w:tcW w:type="auto" w:w="14"/>
            <w:shd w:fill="EAF3E8" w:color="auto" w:val="clear"/>
            <w:tcMar>
              <w:top w:type="dxa" w:w="80"/>
              <w:left w:type="dxa" w:w="120"/>
              <w:bottom w:type="dxa" w:w="80"/>
              <w:right w:type="dxa" w:w="120"/>
            </w:tcMar>
            <w:vAlign w:val="center"/>
          </w:tcPr>
          <w:p>
            <w:pPr>
              <w:jc w:val="left"/>
            </w:pPr>
            <w:r>
              <w:rPr>
                <w:b w:val="false"/>
                <w:bCs w:val="false"/>
                <w:color w:val="222222"/>
                <w:sz w:val="20"/>
                <w:szCs w:val="20"/>
              </w:rPr>
              <w:t xml:space="preserve">country</w:t>
            </w:r>
          </w:p>
        </w:tc>
        <w:tc>
          <w:tcPr>
            <w:tcW w:type="auto" w:w="22"/>
            <w:shd w:fill="EAF3E8" w:color="auto" w:val="clear"/>
            <w:tcMar>
              <w:top w:type="dxa" w:w="80"/>
              <w:left w:type="dxa" w:w="120"/>
              <w:bottom w:type="dxa" w:w="80"/>
              <w:right w:type="dxa" w:w="120"/>
            </w:tcMar>
            <w:vAlign w:val="center"/>
          </w:tcPr>
          <w:p>
            <w:pPr>
              <w:jc w:val="center"/>
            </w:pPr>
            <w:r>
              <w:rPr>
                <w:b w:val="false"/>
                <w:bCs w:val="false"/>
                <w:color w:val="222222"/>
                <w:sz w:val="20"/>
                <w:szCs w:val="20"/>
              </w:rPr>
              <w:t xml:space="preserve">Filled with the mode</w:t>
            </w:r>
          </w:p>
        </w:tc>
        <w:tc>
          <w:tcPr>
            <w:tcW w:type="auto" w:w="64"/>
            <w:shd w:fill="EAF3E8" w:color="auto" w:val="clear"/>
            <w:tcMar>
              <w:top w:type="dxa" w:w="80"/>
              <w:left w:type="dxa" w:w="120"/>
              <w:bottom w:type="dxa" w:w="80"/>
              <w:right w:type="dxa" w:w="120"/>
            </w:tcMar>
            <w:vAlign w:val="center"/>
          </w:tcPr>
          <w:p>
            <w:pPr>
              <w:jc w:val="center"/>
            </w:pPr>
            <w:r>
              <w:rPr>
                <w:b w:val="false"/>
                <w:bCs w:val="false"/>
                <w:color w:val="222222"/>
                <w:sz w:val="20"/>
                <w:szCs w:val="20"/>
              </w:rPr>
              <w:t xml:space="preserve">country is categorical, so imputing with the mode ('PRT') is the standard approach for categorical missingness.</w:t>
            </w:r>
          </w:p>
        </w:tc>
      </w:tr>
      <w:tr>
        <w:tc>
          <w:tcPr>
            <w:tcW w:type="auto" w:w="14"/>
            <w:tcMar>
              <w:top w:type="dxa" w:w="80"/>
              <w:left w:type="dxa" w:w="120"/>
              <w:bottom w:type="dxa" w:w="80"/>
              <w:right w:type="dxa" w:w="120"/>
            </w:tcMar>
            <w:vAlign w:val="center"/>
          </w:tcPr>
          <w:p>
            <w:pPr>
              <w:jc w:val="left"/>
            </w:pPr>
            <w:r>
              <w:rPr>
                <w:b w:val="false"/>
                <w:bCs w:val="false"/>
                <w:color w:val="222222"/>
                <w:sz w:val="20"/>
                <w:szCs w:val="20"/>
              </w:rPr>
              <w:t xml:space="preserve">agent</w:t>
            </w:r>
          </w:p>
        </w:tc>
        <w:tc>
          <w:tcPr>
            <w:tcW w:type="auto" w:w="22"/>
            <w:tcMar>
              <w:top w:type="dxa" w:w="80"/>
              <w:left w:type="dxa" w:w="120"/>
              <w:bottom w:type="dxa" w:w="80"/>
              <w:right w:type="dxa" w:w="120"/>
            </w:tcMar>
            <w:vAlign w:val="center"/>
          </w:tcPr>
          <w:p>
            <w:pPr>
              <w:jc w:val="center"/>
            </w:pPr>
            <w:r>
              <w:rPr>
                <w:b w:val="false"/>
                <w:bCs w:val="false"/>
                <w:color w:val="222222"/>
                <w:sz w:val="20"/>
                <w:szCs w:val="20"/>
              </w:rPr>
              <w:t xml:space="preserve">Filled with 0</w:t>
            </w:r>
          </w:p>
        </w:tc>
        <w:tc>
          <w:tcPr>
            <w:tcW w:type="auto" w:w="64"/>
            <w:tcMar>
              <w:top w:type="dxa" w:w="80"/>
              <w:left w:type="dxa" w:w="120"/>
              <w:bottom w:type="dxa" w:w="80"/>
              <w:right w:type="dxa" w:w="120"/>
            </w:tcMar>
            <w:vAlign w:val="center"/>
          </w:tcPr>
          <w:p>
            <w:pPr>
              <w:jc w:val="center"/>
            </w:pPr>
            <w:r>
              <w:rPr>
                <w:b w:val="false"/>
                <w:bCs w:val="false"/>
                <w:color w:val="222222"/>
                <w:sz w:val="20"/>
                <w:szCs w:val="20"/>
              </w:rPr>
              <w:t xml:space="preserve">A missing agent ID indicates the booking was not made through a travel agent, so 0 is used as a 'no agent' sentinel.</w:t>
            </w:r>
          </w:p>
        </w:tc>
      </w:tr>
      <w:tr>
        <w:tc>
          <w:tcPr>
            <w:tcW w:type="auto" w:w="14"/>
            <w:shd w:fill="EAF3E8" w:color="auto" w:val="clear"/>
            <w:tcMar>
              <w:top w:type="dxa" w:w="80"/>
              <w:left w:type="dxa" w:w="120"/>
              <w:bottom w:type="dxa" w:w="80"/>
              <w:right w:type="dxa" w:w="120"/>
            </w:tcMar>
            <w:vAlign w:val="center"/>
          </w:tcPr>
          <w:p>
            <w:pPr>
              <w:jc w:val="left"/>
            </w:pPr>
            <w:r>
              <w:rPr>
                <w:b w:val="false"/>
                <w:bCs w:val="false"/>
                <w:color w:val="222222"/>
                <w:sz w:val="20"/>
                <w:szCs w:val="20"/>
              </w:rPr>
              <w:t xml:space="preserve">company</w:t>
            </w:r>
          </w:p>
        </w:tc>
        <w:tc>
          <w:tcPr>
            <w:tcW w:type="auto" w:w="22"/>
            <w:shd w:fill="EAF3E8" w:color="auto" w:val="clear"/>
            <w:tcMar>
              <w:top w:type="dxa" w:w="80"/>
              <w:left w:type="dxa" w:w="120"/>
              <w:bottom w:type="dxa" w:w="80"/>
              <w:right w:type="dxa" w:w="120"/>
            </w:tcMar>
            <w:vAlign w:val="center"/>
          </w:tcPr>
          <w:p>
            <w:pPr>
              <w:jc w:val="center"/>
            </w:pPr>
            <w:r>
              <w:rPr>
                <w:b w:val="false"/>
                <w:bCs w:val="false"/>
                <w:color w:val="222222"/>
                <w:sz w:val="20"/>
                <w:szCs w:val="20"/>
              </w:rPr>
              <w:t xml:space="preserve">Column dropped</w:t>
            </w:r>
          </w:p>
        </w:tc>
        <w:tc>
          <w:tcPr>
            <w:tcW w:type="auto" w:w="64"/>
            <w:shd w:fill="EAF3E8" w:color="auto" w:val="clear"/>
            <w:tcMar>
              <w:top w:type="dxa" w:w="80"/>
              <w:left w:type="dxa" w:w="120"/>
              <w:bottom w:type="dxa" w:w="80"/>
              <w:right w:type="dxa" w:w="120"/>
            </w:tcMar>
            <w:vAlign w:val="center"/>
          </w:tcPr>
          <w:p>
            <w:pPr>
              <w:jc w:val="center"/>
            </w:pPr>
            <w:r>
              <w:rPr>
                <w:b w:val="false"/>
                <w:bCs w:val="false"/>
                <w:color w:val="222222"/>
                <w:sz w:val="20"/>
                <w:szCs w:val="20"/>
              </w:rPr>
              <w:t xml:space="preserve">~94.3% of values were missing, leaving too little information to be useful.</w:t>
            </w:r>
          </w:p>
        </w:tc>
      </w:tr>
    </w:tbl>
    <w:p>
      <w:pPr>
        <w:spacing w:after="100"/>
      </w:pPr>
    </w:p>
    <w:p>
      <w:pPr>
        <w:spacing w:after="160" w:line="276"/>
        <w:jc w:val="both"/>
      </w:pPr>
      <w:r>
        <w:rPr>
          <w:color w:val="222222"/>
          <w:sz w:val="21"/>
          <w:szCs w:val="21"/>
        </w:rPr>
        <w:t xml:space="preserve">After these steps, the dataset had zero remaining missing values across all columns (confirmed later in Section 8).</w:t>
      </w:r>
    </w:p>
    <w:p>
      <w:pPr>
        <w:pStyle w:val="Heading1"/>
        <w:pBdr>
          <w:bottom w:val="single" w:color="1F3864" w:sz="6" w:space="4"/>
        </w:pBdr>
        <w:spacing w:after="160" w:before="320"/>
      </w:pPr>
      <w:r>
        <w:rPr>
          <w:b/>
          <w:bCs/>
          <w:color w:val="1F3864"/>
          <w:sz w:val="30"/>
          <w:szCs w:val="30"/>
        </w:rPr>
        <w:t xml:space="preserve">4. Duplicate and Invalid Record Removal</w:t>
      </w:r>
    </w:p>
    <w:p>
      <w:pPr>
        <w:pStyle w:val="Heading2"/>
        <w:spacing w:after="120" w:before="260"/>
      </w:pPr>
      <w:r>
        <w:rPr>
          <w:b/>
          <w:bCs/>
          <w:color w:val="1F3864"/>
          <w:sz w:val="24"/>
          <w:szCs w:val="24"/>
        </w:rPr>
        <w:t xml:space="preserve">4.1 Duplicate Records</w:t>
      </w:r>
    </w:p>
    <w:p>
      <w:pPr>
        <w:spacing w:after="160" w:line="276"/>
        <w:jc w:val="both"/>
      </w:pPr>
      <w:r>
        <w:rPr>
          <w:color w:val="222222"/>
          <w:sz w:val="21"/>
          <w:szCs w:val="21"/>
        </w:rPr>
        <w:t xml:space="preserve">Exact duplicate rows were removed using drop_duplicates(), removing 32,020 rows.</w:t>
      </w:r>
    </w:p>
    <w:p>
      <w:pPr>
        <w:pStyle w:val="Heading2"/>
        <w:spacing w:after="120" w:before="260"/>
      </w:pPr>
      <w:r>
        <w:rPr>
          <w:b/>
          <w:bCs/>
          <w:color w:val="1F3864"/>
          <w:sz w:val="24"/>
          <w:szCs w:val="24"/>
        </w:rPr>
        <w:t xml:space="preserve">4.2 Zero-Guest Bookings</w:t>
      </w:r>
    </w:p>
    <w:p>
      <w:pPr>
        <w:spacing w:after="160" w:line="276"/>
        <w:jc w:val="both"/>
      </w:pPr>
      <w:r>
        <w:rPr>
          <w:color w:val="222222"/>
          <w:sz w:val="21"/>
          <w:szCs w:val="21"/>
        </w:rPr>
        <w:t xml:space="preserve">Bookings where adults, children, and babies were all 0 represent invalid reservations with no guests. 166 such records were removed after deduplication.</w:t>
      </w:r>
    </w:p>
    <w:p>
      <w:pPr>
        <w:pStyle w:val="Heading2"/>
        <w:spacing w:after="120" w:before="260"/>
      </w:pPr>
      <w:r>
        <w:rPr>
          <w:b/>
          <w:bCs/>
          <w:color w:val="1F3864"/>
          <w:sz w:val="24"/>
          <w:szCs w:val="24"/>
        </w:rPr>
        <w:t xml:space="preserve">4.3 Negative Rate Values</w:t>
      </w:r>
    </w:p>
    <w:p>
      <w:pPr>
        <w:spacing w:after="160" w:line="276"/>
        <w:jc w:val="both"/>
      </w:pPr>
      <w:r>
        <w:rPr>
          <w:color w:val="222222"/>
          <w:sz w:val="21"/>
          <w:szCs w:val="21"/>
        </w:rPr>
        <w:t xml:space="preserve">The adr (Average Daily Rate) column should never be negative. 1 record with a negative adr value was removed.</w:t>
      </w:r>
    </w:p>
    <w:tbl>
      <w:tblPr>
        <w:tblW w:type="auto" w:w="100"/>
        <w:tblBorders>
          <w:top w:val="single" w:color="BFBFBF" w:sz="4"/>
          <w:left w:val="single" w:color="BFBFBF" w:sz="4"/>
          <w:bottom w:val="single" w:color="BFBFBF" w:sz="4"/>
          <w:right w:val="single" w:color="BFBFBF" w:sz="4"/>
          <w:insideH w:val="single" w:color="D9D9D9" w:sz="4"/>
          <w:insideV w:val="single" w:color="D9D9D9" w:sz="4"/>
        </w:tblBorders>
      </w:tblPr>
      <w:tblGrid>
        <w:gridCol w:w="100"/>
        <w:gridCol w:w="100"/>
        <w:gridCol w:w="100"/>
      </w:tblGrid>
      <w:tr>
        <w:trPr>
          <w:tblHeader/>
        </w:trPr>
        <w:tc>
          <w:tcPr>
            <w:tcW w:type="auto" w:w="46"/>
            <w:shd w:fill="1F3864" w:color="auto" w:val="clear"/>
            <w:tcMar>
              <w:top w:type="dxa" w:w="80"/>
              <w:left w:type="dxa" w:w="120"/>
              <w:bottom w:type="dxa" w:w="80"/>
              <w:right w:type="dxa" w:w="120"/>
            </w:tcMar>
            <w:vAlign w:val="center"/>
          </w:tcPr>
          <w:p>
            <w:pPr>
              <w:jc w:val="center"/>
            </w:pPr>
            <w:r>
              <w:rPr>
                <w:b/>
                <w:bCs/>
                <w:color w:val="FFFFFF"/>
                <w:sz w:val="20"/>
                <w:szCs w:val="20"/>
              </w:rPr>
              <w:t xml:space="preserve">Step</w:t>
            </w:r>
          </w:p>
        </w:tc>
        <w:tc>
          <w:tcPr>
            <w:tcW w:type="auto" w:w="27"/>
            <w:shd w:fill="1F3864" w:color="auto" w:val="clear"/>
            <w:tcMar>
              <w:top w:type="dxa" w:w="80"/>
              <w:left w:type="dxa" w:w="120"/>
              <w:bottom w:type="dxa" w:w="80"/>
              <w:right w:type="dxa" w:w="120"/>
            </w:tcMar>
            <w:vAlign w:val="center"/>
          </w:tcPr>
          <w:p>
            <w:pPr>
              <w:jc w:val="center"/>
            </w:pPr>
            <w:r>
              <w:rPr>
                <w:b/>
                <w:bCs/>
                <w:color w:val="FFFFFF"/>
                <w:sz w:val="20"/>
                <w:szCs w:val="20"/>
              </w:rPr>
              <w:t xml:space="preserve">Rows Removed</w:t>
            </w:r>
          </w:p>
        </w:tc>
        <w:tc>
          <w:tcPr>
            <w:tcW w:type="auto" w:w="27"/>
            <w:shd w:fill="1F3864" w:color="auto" w:val="clear"/>
            <w:tcMar>
              <w:top w:type="dxa" w:w="80"/>
              <w:left w:type="dxa" w:w="120"/>
              <w:bottom w:type="dxa" w:w="80"/>
              <w:right w:type="dxa" w:w="120"/>
            </w:tcMar>
            <w:vAlign w:val="center"/>
          </w:tcPr>
          <w:p>
            <w:pPr>
              <w:jc w:val="center"/>
            </w:pPr>
            <w:r>
              <w:rPr>
                <w:b/>
                <w:bCs/>
                <w:color w:val="FFFFFF"/>
                <w:sz w:val="20"/>
                <w:szCs w:val="20"/>
              </w:rPr>
              <w:t xml:space="preserve">Rows Remaining</w:t>
            </w:r>
          </w:p>
        </w:tc>
      </w:tr>
      <w:tr>
        <w:tc>
          <w:tcPr>
            <w:tcW w:type="auto" w:w="46"/>
            <w:tcMar>
              <w:top w:type="dxa" w:w="80"/>
              <w:left w:type="dxa" w:w="120"/>
              <w:bottom w:type="dxa" w:w="80"/>
              <w:right w:type="dxa" w:w="120"/>
            </w:tcMar>
            <w:vAlign w:val="center"/>
          </w:tcPr>
          <w:p>
            <w:pPr>
              <w:jc w:val="left"/>
            </w:pPr>
            <w:r>
              <w:rPr>
                <w:b w:val="false"/>
                <w:bCs w:val="false"/>
                <w:color w:val="222222"/>
                <w:sz w:val="20"/>
                <w:szCs w:val="20"/>
              </w:rPr>
              <w:t xml:space="preserve">Raw dataset</w:t>
            </w:r>
          </w:p>
        </w:tc>
        <w:tc>
          <w:tcPr>
            <w:tcW w:type="auto" w:w="27"/>
            <w:tcMar>
              <w:top w:type="dxa" w:w="80"/>
              <w:left w:type="dxa" w:w="120"/>
              <w:bottom w:type="dxa" w:w="80"/>
              <w:right w:type="dxa" w:w="120"/>
            </w:tcMar>
            <w:vAlign w:val="center"/>
          </w:tcPr>
          <w:p>
            <w:pPr>
              <w:jc w:val="center"/>
            </w:pPr>
            <w:r>
              <w:rPr>
                <w:b w:val="false"/>
                <w:bCs w:val="false"/>
                <w:color w:val="222222"/>
                <w:sz w:val="20"/>
                <w:szCs w:val="20"/>
              </w:rPr>
              <w:t xml:space="preserve">–</w:t>
            </w:r>
          </w:p>
        </w:tc>
        <w:tc>
          <w:tcPr>
            <w:tcW w:type="auto" w:w="27"/>
            <w:tcMar>
              <w:top w:type="dxa" w:w="80"/>
              <w:left w:type="dxa" w:w="120"/>
              <w:bottom w:type="dxa" w:w="80"/>
              <w:right w:type="dxa" w:w="120"/>
            </w:tcMar>
            <w:vAlign w:val="center"/>
          </w:tcPr>
          <w:p>
            <w:pPr>
              <w:jc w:val="center"/>
            </w:pPr>
            <w:r>
              <w:rPr>
                <w:b w:val="false"/>
                <w:bCs w:val="false"/>
                <w:color w:val="222222"/>
                <w:sz w:val="20"/>
                <w:szCs w:val="20"/>
              </w:rPr>
              <w:t xml:space="preserve">119,390</w:t>
            </w:r>
          </w:p>
        </w:tc>
      </w:tr>
      <w:tr>
        <w:tc>
          <w:tcPr>
            <w:tcW w:type="auto" w:w="46"/>
            <w:shd w:fill="EAF3E8" w:color="auto" w:val="clear"/>
            <w:tcMar>
              <w:top w:type="dxa" w:w="80"/>
              <w:left w:type="dxa" w:w="120"/>
              <w:bottom w:type="dxa" w:w="80"/>
              <w:right w:type="dxa" w:w="120"/>
            </w:tcMar>
            <w:vAlign w:val="center"/>
          </w:tcPr>
          <w:p>
            <w:pPr>
              <w:jc w:val="left"/>
            </w:pPr>
            <w:r>
              <w:rPr>
                <w:b w:val="false"/>
                <w:bCs w:val="false"/>
                <w:color w:val="222222"/>
                <w:sz w:val="20"/>
                <w:szCs w:val="20"/>
              </w:rPr>
              <w:t xml:space="preserve">After removing duplicates</w:t>
            </w:r>
          </w:p>
        </w:tc>
        <w:tc>
          <w:tcPr>
            <w:tcW w:type="auto" w:w="27"/>
            <w:shd w:fill="EAF3E8" w:color="auto" w:val="clear"/>
            <w:tcMar>
              <w:top w:type="dxa" w:w="80"/>
              <w:left w:type="dxa" w:w="120"/>
              <w:bottom w:type="dxa" w:w="80"/>
              <w:right w:type="dxa" w:w="120"/>
            </w:tcMar>
            <w:vAlign w:val="center"/>
          </w:tcPr>
          <w:p>
            <w:pPr>
              <w:jc w:val="center"/>
            </w:pPr>
            <w:r>
              <w:rPr>
                <w:b w:val="false"/>
                <w:bCs w:val="false"/>
                <w:color w:val="222222"/>
                <w:sz w:val="20"/>
                <w:szCs w:val="20"/>
              </w:rPr>
              <w:t xml:space="preserve">32,020</w:t>
            </w:r>
          </w:p>
        </w:tc>
        <w:tc>
          <w:tcPr>
            <w:tcW w:type="auto" w:w="27"/>
            <w:shd w:fill="EAF3E8" w:color="auto" w:val="clear"/>
            <w:tcMar>
              <w:top w:type="dxa" w:w="80"/>
              <w:left w:type="dxa" w:w="120"/>
              <w:bottom w:type="dxa" w:w="80"/>
              <w:right w:type="dxa" w:w="120"/>
            </w:tcMar>
            <w:vAlign w:val="center"/>
          </w:tcPr>
          <w:p>
            <w:pPr>
              <w:jc w:val="center"/>
            </w:pPr>
            <w:r>
              <w:rPr>
                <w:b w:val="false"/>
                <w:bCs w:val="false"/>
                <w:color w:val="222222"/>
                <w:sz w:val="20"/>
                <w:szCs w:val="20"/>
              </w:rPr>
              <w:t xml:space="preserve">87,370</w:t>
            </w:r>
          </w:p>
        </w:tc>
      </w:tr>
      <w:tr>
        <w:tc>
          <w:tcPr>
            <w:tcW w:type="auto" w:w="46"/>
            <w:tcMar>
              <w:top w:type="dxa" w:w="80"/>
              <w:left w:type="dxa" w:w="120"/>
              <w:bottom w:type="dxa" w:w="80"/>
              <w:right w:type="dxa" w:w="120"/>
            </w:tcMar>
            <w:vAlign w:val="center"/>
          </w:tcPr>
          <w:p>
            <w:pPr>
              <w:jc w:val="left"/>
            </w:pPr>
            <w:r>
              <w:rPr>
                <w:b w:val="false"/>
                <w:bCs w:val="false"/>
                <w:color w:val="222222"/>
                <w:sz w:val="20"/>
                <w:szCs w:val="20"/>
              </w:rPr>
              <w:t xml:space="preserve">After removing zero-guest bookings</w:t>
            </w:r>
          </w:p>
        </w:tc>
        <w:tc>
          <w:tcPr>
            <w:tcW w:type="auto" w:w="27"/>
            <w:tcMar>
              <w:top w:type="dxa" w:w="80"/>
              <w:left w:type="dxa" w:w="120"/>
              <w:bottom w:type="dxa" w:w="80"/>
              <w:right w:type="dxa" w:w="120"/>
            </w:tcMar>
            <w:vAlign w:val="center"/>
          </w:tcPr>
          <w:p>
            <w:pPr>
              <w:jc w:val="center"/>
            </w:pPr>
            <w:r>
              <w:rPr>
                <w:b w:val="false"/>
                <w:bCs w:val="false"/>
                <w:color w:val="222222"/>
                <w:sz w:val="20"/>
                <w:szCs w:val="20"/>
              </w:rPr>
              <w:t xml:space="preserve">166</w:t>
            </w:r>
          </w:p>
        </w:tc>
        <w:tc>
          <w:tcPr>
            <w:tcW w:type="auto" w:w="27"/>
            <w:tcMar>
              <w:top w:type="dxa" w:w="80"/>
              <w:left w:type="dxa" w:w="120"/>
              <w:bottom w:type="dxa" w:w="80"/>
              <w:right w:type="dxa" w:w="120"/>
            </w:tcMar>
            <w:vAlign w:val="center"/>
          </w:tcPr>
          <w:p>
            <w:pPr>
              <w:jc w:val="center"/>
            </w:pPr>
            <w:r>
              <w:rPr>
                <w:b w:val="false"/>
                <w:bCs w:val="false"/>
                <w:color w:val="222222"/>
                <w:sz w:val="20"/>
                <w:szCs w:val="20"/>
              </w:rPr>
              <w:t xml:space="preserve">87,204</w:t>
            </w:r>
          </w:p>
        </w:tc>
      </w:tr>
      <w:tr>
        <w:tc>
          <w:tcPr>
            <w:tcW w:type="auto" w:w="46"/>
            <w:shd w:fill="EAF3E8" w:color="auto" w:val="clear"/>
            <w:tcMar>
              <w:top w:type="dxa" w:w="80"/>
              <w:left w:type="dxa" w:w="120"/>
              <w:bottom w:type="dxa" w:w="80"/>
              <w:right w:type="dxa" w:w="120"/>
            </w:tcMar>
            <w:vAlign w:val="center"/>
          </w:tcPr>
          <w:p>
            <w:pPr>
              <w:jc w:val="left"/>
            </w:pPr>
            <w:r>
              <w:rPr>
                <w:b w:val="false"/>
                <w:bCs w:val="false"/>
                <w:color w:val="222222"/>
                <w:sz w:val="20"/>
                <w:szCs w:val="20"/>
              </w:rPr>
              <w:t xml:space="preserve">After removing negative adr records</w:t>
            </w:r>
          </w:p>
        </w:tc>
        <w:tc>
          <w:tcPr>
            <w:tcW w:type="auto" w:w="27"/>
            <w:shd w:fill="EAF3E8" w:color="auto" w:val="clear"/>
            <w:tcMar>
              <w:top w:type="dxa" w:w="80"/>
              <w:left w:type="dxa" w:w="120"/>
              <w:bottom w:type="dxa" w:w="80"/>
              <w:right w:type="dxa" w:w="120"/>
            </w:tcMar>
            <w:vAlign w:val="center"/>
          </w:tcPr>
          <w:p>
            <w:pPr>
              <w:jc w:val="center"/>
            </w:pPr>
            <w:r>
              <w:rPr>
                <w:b w:val="false"/>
                <w:bCs w:val="false"/>
                <w:color w:val="222222"/>
                <w:sz w:val="20"/>
                <w:szCs w:val="20"/>
              </w:rPr>
              <w:t xml:space="preserve">1</w:t>
            </w:r>
          </w:p>
        </w:tc>
        <w:tc>
          <w:tcPr>
            <w:tcW w:type="auto" w:w="27"/>
            <w:shd w:fill="EAF3E8" w:color="auto" w:val="clear"/>
            <w:tcMar>
              <w:top w:type="dxa" w:w="80"/>
              <w:left w:type="dxa" w:w="120"/>
              <w:bottom w:type="dxa" w:w="80"/>
              <w:right w:type="dxa" w:w="120"/>
            </w:tcMar>
            <w:vAlign w:val="center"/>
          </w:tcPr>
          <w:p>
            <w:pPr>
              <w:jc w:val="center"/>
            </w:pPr>
            <w:r>
              <w:rPr>
                <w:b w:val="false"/>
                <w:bCs w:val="false"/>
                <w:color w:val="222222"/>
                <w:sz w:val="20"/>
                <w:szCs w:val="20"/>
              </w:rPr>
              <w:t xml:space="preserve">87,203</w:t>
            </w:r>
          </w:p>
        </w:tc>
      </w:tr>
    </w:tbl>
    <w:p>
      <w:pPr>
        <w:spacing w:after="200"/>
      </w:pPr>
    </w:p>
    <w:p>
      <w:pPr>
        <w:pStyle w:val="Heading1"/>
        <w:pBdr>
          <w:bottom w:val="single" w:color="1F3864" w:sz="6" w:space="4"/>
        </w:pBdr>
        <w:spacing w:after="160" w:before="320"/>
      </w:pPr>
      <w:r>
        <w:rPr>
          <w:b/>
          <w:bCs/>
          <w:color w:val="1F3864"/>
          <w:sz w:val="30"/>
          <w:szCs w:val="30"/>
        </w:rPr>
        <w:t xml:space="preserve">5. Outlier Detection and Treatment</w:t>
      </w:r>
    </w:p>
    <w:p>
      <w:pPr>
        <w:spacing w:after="160" w:line="276"/>
        <w:jc w:val="both"/>
      </w:pPr>
      <w:r>
        <w:rPr>
          <w:color w:val="222222"/>
          <w:sz w:val="21"/>
          <w:szCs w:val="21"/>
        </w:rPr>
        <w:t xml:space="preserve">Outliers were identified visually via boxplots and quantitatively using the Interquartile Range (IQR) method, a standard statistical technique for numeric outlier detection.</w:t>
      </w:r>
    </w:p>
    <w:p>
      <w:pPr>
        <w:pStyle w:val="Heading2"/>
        <w:spacing w:after="120" w:before="260"/>
      </w:pPr>
      <w:r>
        <w:rPr>
          <w:b/>
          <w:bCs/>
          <w:color w:val="1F3864"/>
          <w:sz w:val="24"/>
          <w:szCs w:val="24"/>
        </w:rPr>
        <w:t xml:space="preserve">5.1 IQR Method</w:t>
      </w:r>
    </w:p>
    <w:p>
      <w:pPr>
        <w:spacing w:after="160" w:line="276"/>
        <w:jc w:val="both"/>
      </w:pPr>
      <w:r>
        <w:rPr>
          <w:color w:val="222222"/>
          <w:sz w:val="21"/>
          <w:szCs w:val="21"/>
        </w:rPr>
        <w:t xml:space="preserve">For each numeric column, the first quartile (Q1) and third quartile (Q3) were computed, and the IQR was calculated as Q3 − Q1. Values outside [Q1 − 1.5×IQR, Q3 + 1.5×IQR] were flagged as statistical outliers.</w:t>
      </w:r>
    </w:p>
    <w:tbl>
      <w:tblPr>
        <w:tblW w:type="auto" w:w="100"/>
        <w:tblBorders>
          <w:top w:val="single" w:color="BFBFBF" w:sz="4"/>
          <w:left w:val="single" w:color="BFBFBF" w:sz="4"/>
          <w:bottom w:val="single" w:color="BFBFBF" w:sz="4"/>
          <w:right w:val="single" w:color="BFBFBF" w:sz="4"/>
          <w:insideH w:val="single" w:color="D9D9D9" w:sz="4"/>
          <w:insideV w:val="single" w:color="D9D9D9" w:sz="4"/>
        </w:tblBorders>
      </w:tblPr>
      <w:tblGrid>
        <w:gridCol w:w="100"/>
        <w:gridCol w:w="100"/>
        <w:gridCol w:w="100"/>
        <w:gridCol w:w="100"/>
        <w:gridCol w:w="100"/>
        <w:gridCol w:w="100"/>
        <w:gridCol w:w="100"/>
      </w:tblGrid>
      <w:tr>
        <w:trPr>
          <w:tblHeader/>
        </w:trPr>
        <w:tc>
          <w:tcPr>
            <w:tcW w:type="auto" w:w="26"/>
            <w:shd w:fill="1F3864" w:color="auto" w:val="clear"/>
            <w:tcMar>
              <w:top w:type="dxa" w:w="80"/>
              <w:left w:type="dxa" w:w="120"/>
              <w:bottom w:type="dxa" w:w="80"/>
              <w:right w:type="dxa" w:w="120"/>
            </w:tcMar>
            <w:vAlign w:val="center"/>
          </w:tcPr>
          <w:p>
            <w:pPr>
              <w:jc w:val="center"/>
            </w:pPr>
            <w:r>
              <w:rPr>
                <w:b/>
                <w:bCs/>
                <w:color w:val="FFFFFF"/>
                <w:sz w:val="20"/>
                <w:szCs w:val="20"/>
              </w:rPr>
              <w:t xml:space="preserve">Column</w:t>
            </w:r>
          </w:p>
        </w:tc>
        <w:tc>
          <w:tcPr>
            <w:tcW w:type="auto" w:w="11"/>
            <w:shd w:fill="1F3864" w:color="auto" w:val="clear"/>
            <w:tcMar>
              <w:top w:type="dxa" w:w="80"/>
              <w:left w:type="dxa" w:w="120"/>
              <w:bottom w:type="dxa" w:w="80"/>
              <w:right w:type="dxa" w:w="120"/>
            </w:tcMar>
            <w:vAlign w:val="center"/>
          </w:tcPr>
          <w:p>
            <w:pPr>
              <w:jc w:val="center"/>
            </w:pPr>
            <w:r>
              <w:rPr>
                <w:b/>
                <w:bCs/>
                <w:color w:val="FFFFFF"/>
                <w:sz w:val="20"/>
                <w:szCs w:val="20"/>
              </w:rPr>
              <w:t xml:space="preserve">Q1</w:t>
            </w:r>
          </w:p>
        </w:tc>
        <w:tc>
          <w:tcPr>
            <w:tcW w:type="auto" w:w="11"/>
            <w:shd w:fill="1F3864" w:color="auto" w:val="clear"/>
            <w:tcMar>
              <w:top w:type="dxa" w:w="80"/>
              <w:left w:type="dxa" w:w="120"/>
              <w:bottom w:type="dxa" w:w="80"/>
              <w:right w:type="dxa" w:w="120"/>
            </w:tcMar>
            <w:vAlign w:val="center"/>
          </w:tcPr>
          <w:p>
            <w:pPr>
              <w:jc w:val="center"/>
            </w:pPr>
            <w:r>
              <w:rPr>
                <w:b/>
                <w:bCs/>
                <w:color w:val="FFFFFF"/>
                <w:sz w:val="20"/>
                <w:szCs w:val="20"/>
              </w:rPr>
              <w:t xml:space="preserve">Q3</w:t>
            </w:r>
          </w:p>
        </w:tc>
        <w:tc>
          <w:tcPr>
            <w:tcW w:type="auto" w:w="11"/>
            <w:shd w:fill="1F3864" w:color="auto" w:val="clear"/>
            <w:tcMar>
              <w:top w:type="dxa" w:w="80"/>
              <w:left w:type="dxa" w:w="120"/>
              <w:bottom w:type="dxa" w:w="80"/>
              <w:right w:type="dxa" w:w="120"/>
            </w:tcMar>
            <w:vAlign w:val="center"/>
          </w:tcPr>
          <w:p>
            <w:pPr>
              <w:jc w:val="center"/>
            </w:pPr>
            <w:r>
              <w:rPr>
                <w:b/>
                <w:bCs/>
                <w:color w:val="FFFFFF"/>
                <w:sz w:val="20"/>
                <w:szCs w:val="20"/>
              </w:rPr>
              <w:t xml:space="preserve">IQR</w:t>
            </w:r>
          </w:p>
        </w:tc>
        <w:tc>
          <w:tcPr>
            <w:tcW w:type="auto" w:w="12"/>
            <w:shd w:fill="1F3864" w:color="auto" w:val="clear"/>
            <w:tcMar>
              <w:top w:type="dxa" w:w="80"/>
              <w:left w:type="dxa" w:w="120"/>
              <w:bottom w:type="dxa" w:w="80"/>
              <w:right w:type="dxa" w:w="120"/>
            </w:tcMar>
            <w:vAlign w:val="center"/>
          </w:tcPr>
          <w:p>
            <w:pPr>
              <w:jc w:val="center"/>
            </w:pPr>
            <w:r>
              <w:rPr>
                <w:b/>
                <w:bCs/>
                <w:color w:val="FFFFFF"/>
                <w:sz w:val="20"/>
                <w:szCs w:val="20"/>
              </w:rPr>
              <w:t xml:space="preserve">Lower</w:t>
            </w:r>
          </w:p>
        </w:tc>
        <w:tc>
          <w:tcPr>
            <w:tcW w:type="auto" w:w="12"/>
            <w:shd w:fill="1F3864" w:color="auto" w:val="clear"/>
            <w:tcMar>
              <w:top w:type="dxa" w:w="80"/>
              <w:left w:type="dxa" w:w="120"/>
              <w:bottom w:type="dxa" w:w="80"/>
              <w:right w:type="dxa" w:w="120"/>
            </w:tcMar>
            <w:vAlign w:val="center"/>
          </w:tcPr>
          <w:p>
            <w:pPr>
              <w:jc w:val="center"/>
            </w:pPr>
            <w:r>
              <w:rPr>
                <w:b/>
                <w:bCs/>
                <w:color w:val="FFFFFF"/>
                <w:sz w:val="20"/>
                <w:szCs w:val="20"/>
              </w:rPr>
              <w:t xml:space="preserve">Upper</w:t>
            </w:r>
          </w:p>
        </w:tc>
        <w:tc>
          <w:tcPr>
            <w:tcW w:type="auto" w:w="17"/>
            <w:shd w:fill="1F3864" w:color="auto" w:val="clear"/>
            <w:tcMar>
              <w:top w:type="dxa" w:w="80"/>
              <w:left w:type="dxa" w:w="120"/>
              <w:bottom w:type="dxa" w:w="80"/>
              <w:right w:type="dxa" w:w="120"/>
            </w:tcMar>
            <w:vAlign w:val="center"/>
          </w:tcPr>
          <w:p>
            <w:pPr>
              <w:jc w:val="center"/>
            </w:pPr>
            <w:r>
              <w:rPr>
                <w:b/>
                <w:bCs/>
                <w:color w:val="FFFFFF"/>
                <w:sz w:val="20"/>
                <w:szCs w:val="20"/>
              </w:rPr>
              <w:t xml:space="preserve">Outliers</w:t>
            </w:r>
          </w:p>
        </w:tc>
      </w:tr>
      <w:tr>
        <w:tc>
          <w:tcPr>
            <w:tcW w:type="auto" w:w="26"/>
            <w:tcMar>
              <w:top w:type="dxa" w:w="80"/>
              <w:left w:type="dxa" w:w="120"/>
              <w:bottom w:type="dxa" w:w="80"/>
              <w:right w:type="dxa" w:w="120"/>
            </w:tcMar>
            <w:vAlign w:val="center"/>
          </w:tcPr>
          <w:p>
            <w:pPr>
              <w:jc w:val="left"/>
            </w:pPr>
            <w:r>
              <w:rPr>
                <w:b w:val="false"/>
                <w:bCs w:val="false"/>
                <w:color w:val="222222"/>
                <w:sz w:val="20"/>
                <w:szCs w:val="20"/>
              </w:rPr>
              <w:t xml:space="preserve">adr</w:t>
            </w:r>
          </w:p>
        </w:tc>
        <w:tc>
          <w:tcPr>
            <w:tcW w:type="auto" w:w="11"/>
            <w:tcMar>
              <w:top w:type="dxa" w:w="80"/>
              <w:left w:type="dxa" w:w="120"/>
              <w:bottom w:type="dxa" w:w="80"/>
              <w:right w:type="dxa" w:w="120"/>
            </w:tcMar>
            <w:vAlign w:val="center"/>
          </w:tcPr>
          <w:p>
            <w:pPr>
              <w:jc w:val="center"/>
            </w:pPr>
            <w:r>
              <w:rPr>
                <w:b w:val="false"/>
                <w:bCs w:val="false"/>
                <w:color w:val="222222"/>
                <w:sz w:val="20"/>
                <w:szCs w:val="20"/>
              </w:rPr>
              <w:t xml:space="preserve">72.25</w:t>
            </w:r>
          </w:p>
        </w:tc>
        <w:tc>
          <w:tcPr>
            <w:tcW w:type="auto" w:w="11"/>
            <w:tcMar>
              <w:top w:type="dxa" w:w="80"/>
              <w:left w:type="dxa" w:w="120"/>
              <w:bottom w:type="dxa" w:w="80"/>
              <w:right w:type="dxa" w:w="120"/>
            </w:tcMar>
            <w:vAlign w:val="center"/>
          </w:tcPr>
          <w:p>
            <w:pPr>
              <w:jc w:val="center"/>
            </w:pPr>
            <w:r>
              <w:rPr>
                <w:b w:val="false"/>
                <w:bCs w:val="false"/>
                <w:color w:val="222222"/>
                <w:sz w:val="20"/>
                <w:szCs w:val="20"/>
              </w:rPr>
              <w:t xml:space="preserve">134.10</w:t>
            </w:r>
          </w:p>
        </w:tc>
        <w:tc>
          <w:tcPr>
            <w:tcW w:type="auto" w:w="11"/>
            <w:tcMar>
              <w:top w:type="dxa" w:w="80"/>
              <w:left w:type="dxa" w:w="120"/>
              <w:bottom w:type="dxa" w:w="80"/>
              <w:right w:type="dxa" w:w="120"/>
            </w:tcMar>
            <w:vAlign w:val="center"/>
          </w:tcPr>
          <w:p>
            <w:pPr>
              <w:jc w:val="center"/>
            </w:pPr>
            <w:r>
              <w:rPr>
                <w:b w:val="false"/>
                <w:bCs w:val="false"/>
                <w:color w:val="222222"/>
                <w:sz w:val="20"/>
                <w:szCs w:val="20"/>
              </w:rPr>
              <w:t xml:space="preserve">61.85</w:t>
            </w:r>
          </w:p>
        </w:tc>
        <w:tc>
          <w:tcPr>
            <w:tcW w:type="auto" w:w="12"/>
            <w:tcMar>
              <w:top w:type="dxa" w:w="80"/>
              <w:left w:type="dxa" w:w="120"/>
              <w:bottom w:type="dxa" w:w="80"/>
              <w:right w:type="dxa" w:w="120"/>
            </w:tcMar>
            <w:vAlign w:val="center"/>
          </w:tcPr>
          <w:p>
            <w:pPr>
              <w:jc w:val="center"/>
            </w:pPr>
            <w:r>
              <w:rPr>
                <w:b w:val="false"/>
                <w:bCs w:val="false"/>
                <w:color w:val="222222"/>
                <w:sz w:val="20"/>
                <w:szCs w:val="20"/>
              </w:rPr>
              <w:t xml:space="preserve">-20.52</w:t>
            </w:r>
          </w:p>
        </w:tc>
        <w:tc>
          <w:tcPr>
            <w:tcW w:type="auto" w:w="12"/>
            <w:tcMar>
              <w:top w:type="dxa" w:w="80"/>
              <w:left w:type="dxa" w:w="120"/>
              <w:bottom w:type="dxa" w:w="80"/>
              <w:right w:type="dxa" w:w="120"/>
            </w:tcMar>
            <w:vAlign w:val="center"/>
          </w:tcPr>
          <w:p>
            <w:pPr>
              <w:jc w:val="center"/>
            </w:pPr>
            <w:r>
              <w:rPr>
                <w:b w:val="false"/>
                <w:bCs w:val="false"/>
                <w:color w:val="222222"/>
                <w:sz w:val="20"/>
                <w:szCs w:val="20"/>
              </w:rPr>
              <w:t xml:space="preserve">165.02</w:t>
            </w:r>
          </w:p>
        </w:tc>
        <w:tc>
          <w:tcPr>
            <w:tcW w:type="auto" w:w="17"/>
            <w:tcMar>
              <w:top w:type="dxa" w:w="80"/>
              <w:left w:type="dxa" w:w="120"/>
              <w:bottom w:type="dxa" w:w="80"/>
              <w:right w:type="dxa" w:w="120"/>
            </w:tcMar>
            <w:vAlign w:val="center"/>
          </w:tcPr>
          <w:p>
            <w:pPr>
              <w:jc w:val="center"/>
            </w:pPr>
            <w:r>
              <w:rPr>
                <w:b w:val="false"/>
                <w:bCs w:val="false"/>
                <w:color w:val="222222"/>
                <w:sz w:val="20"/>
                <w:szCs w:val="20"/>
              </w:rPr>
              <w:t xml:space="preserve">10,774</w:t>
            </w:r>
          </w:p>
        </w:tc>
      </w:tr>
      <w:tr>
        <w:tc>
          <w:tcPr>
            <w:tcW w:type="auto" w:w="26"/>
            <w:shd w:fill="EAF3E8" w:color="auto" w:val="clear"/>
            <w:tcMar>
              <w:top w:type="dxa" w:w="80"/>
              <w:left w:type="dxa" w:w="120"/>
              <w:bottom w:type="dxa" w:w="80"/>
              <w:right w:type="dxa" w:w="120"/>
            </w:tcMar>
            <w:vAlign w:val="center"/>
          </w:tcPr>
          <w:p>
            <w:pPr>
              <w:jc w:val="left"/>
            </w:pPr>
            <w:r>
              <w:rPr>
                <w:b w:val="false"/>
                <w:bCs w:val="false"/>
                <w:color w:val="222222"/>
                <w:sz w:val="20"/>
                <w:szCs w:val="20"/>
              </w:rPr>
              <w:t xml:space="preserve">lead_time</w:t>
            </w:r>
          </w:p>
        </w:tc>
        <w:tc>
          <w:tcPr>
            <w:tcW w:type="auto" w:w="11"/>
            <w:shd w:fill="EAF3E8" w:color="auto" w:val="clear"/>
            <w:tcMar>
              <w:top w:type="dxa" w:w="80"/>
              <w:left w:type="dxa" w:w="120"/>
              <w:bottom w:type="dxa" w:w="80"/>
              <w:right w:type="dxa" w:w="120"/>
            </w:tcMar>
            <w:vAlign w:val="center"/>
          </w:tcPr>
          <w:p>
            <w:pPr>
              <w:jc w:val="center"/>
            </w:pPr>
            <w:r>
              <w:rPr>
                <w:b w:val="false"/>
                <w:bCs w:val="false"/>
                <w:color w:val="222222"/>
                <w:sz w:val="20"/>
                <w:szCs w:val="20"/>
              </w:rPr>
              <w:t xml:space="preserve">11.00</w:t>
            </w:r>
          </w:p>
        </w:tc>
        <w:tc>
          <w:tcPr>
            <w:tcW w:type="auto" w:w="11"/>
            <w:shd w:fill="EAF3E8" w:color="auto" w:val="clear"/>
            <w:tcMar>
              <w:top w:type="dxa" w:w="80"/>
              <w:left w:type="dxa" w:w="120"/>
              <w:bottom w:type="dxa" w:w="80"/>
              <w:right w:type="dxa" w:w="120"/>
            </w:tcMar>
            <w:vAlign w:val="center"/>
          </w:tcPr>
          <w:p>
            <w:pPr>
              <w:jc w:val="center"/>
            </w:pPr>
            <w:r>
              <w:rPr>
                <w:b w:val="false"/>
                <w:bCs w:val="false"/>
                <w:color w:val="222222"/>
                <w:sz w:val="20"/>
                <w:szCs w:val="20"/>
              </w:rPr>
              <w:t xml:space="preserve">125.00</w:t>
            </w:r>
          </w:p>
        </w:tc>
        <w:tc>
          <w:tcPr>
            <w:tcW w:type="auto" w:w="11"/>
            <w:shd w:fill="EAF3E8" w:color="auto" w:val="clear"/>
            <w:tcMar>
              <w:top w:type="dxa" w:w="80"/>
              <w:left w:type="dxa" w:w="120"/>
              <w:bottom w:type="dxa" w:w="80"/>
              <w:right w:type="dxa" w:w="120"/>
            </w:tcMar>
            <w:vAlign w:val="center"/>
          </w:tcPr>
          <w:p>
            <w:pPr>
              <w:jc w:val="center"/>
            </w:pPr>
            <w:r>
              <w:rPr>
                <w:b w:val="false"/>
                <w:bCs w:val="false"/>
                <w:color w:val="222222"/>
                <w:sz w:val="20"/>
                <w:szCs w:val="20"/>
              </w:rPr>
              <w:t xml:space="preserve">114.00</w:t>
            </w:r>
          </w:p>
        </w:tc>
        <w:tc>
          <w:tcPr>
            <w:tcW w:type="auto" w:w="12"/>
            <w:shd w:fill="EAF3E8" w:color="auto" w:val="clear"/>
            <w:tcMar>
              <w:top w:type="dxa" w:w="80"/>
              <w:left w:type="dxa" w:w="120"/>
              <w:bottom w:type="dxa" w:w="80"/>
              <w:right w:type="dxa" w:w="120"/>
            </w:tcMar>
            <w:vAlign w:val="center"/>
          </w:tcPr>
          <w:p>
            <w:pPr>
              <w:jc w:val="center"/>
            </w:pPr>
            <w:r>
              <w:rPr>
                <w:b w:val="false"/>
                <w:bCs w:val="false"/>
                <w:color w:val="222222"/>
                <w:sz w:val="20"/>
                <w:szCs w:val="20"/>
              </w:rPr>
              <w:t xml:space="preserve">-160.00</w:t>
            </w:r>
          </w:p>
        </w:tc>
        <w:tc>
          <w:tcPr>
            <w:tcW w:type="auto" w:w="12"/>
            <w:shd w:fill="EAF3E8" w:color="auto" w:val="clear"/>
            <w:tcMar>
              <w:top w:type="dxa" w:w="80"/>
              <w:left w:type="dxa" w:w="120"/>
              <w:bottom w:type="dxa" w:w="80"/>
              <w:right w:type="dxa" w:w="120"/>
            </w:tcMar>
            <w:vAlign w:val="center"/>
          </w:tcPr>
          <w:p>
            <w:pPr>
              <w:jc w:val="center"/>
            </w:pPr>
            <w:r>
              <w:rPr>
                <w:b w:val="false"/>
                <w:bCs w:val="false"/>
                <w:color w:val="222222"/>
                <w:sz w:val="20"/>
                <w:szCs w:val="20"/>
              </w:rPr>
              <w:t xml:space="preserve">182.00</w:t>
            </w:r>
          </w:p>
        </w:tc>
        <w:tc>
          <w:tcPr>
            <w:tcW w:type="auto" w:w="17"/>
            <w:shd w:fill="EAF3E8" w:color="auto" w:val="clear"/>
            <w:tcMar>
              <w:top w:type="dxa" w:w="80"/>
              <w:left w:type="dxa" w:w="120"/>
              <w:bottom w:type="dxa" w:w="80"/>
              <w:right w:type="dxa" w:w="120"/>
            </w:tcMar>
            <w:vAlign w:val="center"/>
          </w:tcPr>
          <w:p>
            <w:pPr>
              <w:jc w:val="center"/>
            </w:pPr>
            <w:r>
              <w:rPr>
                <w:b w:val="false"/>
                <w:bCs w:val="false"/>
                <w:color w:val="222222"/>
                <w:sz w:val="20"/>
                <w:szCs w:val="20"/>
              </w:rPr>
              <w:t xml:space="preserve">11,477</w:t>
            </w:r>
          </w:p>
        </w:tc>
      </w:tr>
      <w:tr>
        <w:tc>
          <w:tcPr>
            <w:tcW w:type="auto" w:w="26"/>
            <w:tcMar>
              <w:top w:type="dxa" w:w="80"/>
              <w:left w:type="dxa" w:w="120"/>
              <w:bottom w:type="dxa" w:w="80"/>
              <w:right w:type="dxa" w:w="120"/>
            </w:tcMar>
            <w:vAlign w:val="center"/>
          </w:tcPr>
          <w:p>
            <w:pPr>
              <w:jc w:val="left"/>
            </w:pPr>
            <w:r>
              <w:rPr>
                <w:b w:val="false"/>
                <w:bCs w:val="false"/>
                <w:color w:val="222222"/>
                <w:sz w:val="20"/>
                <w:szCs w:val="20"/>
              </w:rPr>
              <w:t xml:space="preserve">stays_in_week_nights</w:t>
            </w:r>
          </w:p>
        </w:tc>
        <w:tc>
          <w:tcPr>
            <w:tcW w:type="auto" w:w="11"/>
            <w:tcMar>
              <w:top w:type="dxa" w:w="80"/>
              <w:left w:type="dxa" w:w="120"/>
              <w:bottom w:type="dxa" w:w="80"/>
              <w:right w:type="dxa" w:w="120"/>
            </w:tcMar>
            <w:vAlign w:val="center"/>
          </w:tcPr>
          <w:p>
            <w:pPr>
              <w:jc w:val="center"/>
            </w:pPr>
            <w:r>
              <w:rPr>
                <w:b w:val="false"/>
                <w:bCs w:val="false"/>
                <w:color w:val="222222"/>
                <w:sz w:val="20"/>
                <w:szCs w:val="20"/>
              </w:rPr>
              <w:t xml:space="preserve">1.00</w:t>
            </w:r>
          </w:p>
        </w:tc>
        <w:tc>
          <w:tcPr>
            <w:tcW w:type="auto" w:w="11"/>
            <w:tcMar>
              <w:top w:type="dxa" w:w="80"/>
              <w:left w:type="dxa" w:w="120"/>
              <w:bottom w:type="dxa" w:w="80"/>
              <w:right w:type="dxa" w:w="120"/>
            </w:tcMar>
            <w:vAlign w:val="center"/>
          </w:tcPr>
          <w:p>
            <w:pPr>
              <w:jc w:val="center"/>
            </w:pPr>
            <w:r>
              <w:rPr>
                <w:b w:val="false"/>
                <w:bCs w:val="false"/>
                <w:color w:val="222222"/>
                <w:sz w:val="20"/>
                <w:szCs w:val="20"/>
              </w:rPr>
              <w:t xml:space="preserve">4.00</w:t>
            </w:r>
          </w:p>
        </w:tc>
        <w:tc>
          <w:tcPr>
            <w:tcW w:type="auto" w:w="11"/>
            <w:tcMar>
              <w:top w:type="dxa" w:w="80"/>
              <w:left w:type="dxa" w:w="120"/>
              <w:bottom w:type="dxa" w:w="80"/>
              <w:right w:type="dxa" w:w="120"/>
            </w:tcMar>
            <w:vAlign w:val="center"/>
          </w:tcPr>
          <w:p>
            <w:pPr>
              <w:jc w:val="center"/>
            </w:pPr>
            <w:r>
              <w:rPr>
                <w:b w:val="false"/>
                <w:bCs w:val="false"/>
                <w:color w:val="222222"/>
                <w:sz w:val="20"/>
                <w:szCs w:val="20"/>
              </w:rPr>
              <w:t xml:space="preserve">3.00</w:t>
            </w:r>
          </w:p>
        </w:tc>
        <w:tc>
          <w:tcPr>
            <w:tcW w:type="auto" w:w="12"/>
            <w:tcMar>
              <w:top w:type="dxa" w:w="80"/>
              <w:left w:type="dxa" w:w="120"/>
              <w:bottom w:type="dxa" w:w="80"/>
              <w:right w:type="dxa" w:w="120"/>
            </w:tcMar>
            <w:vAlign w:val="center"/>
          </w:tcPr>
          <w:p>
            <w:pPr>
              <w:jc w:val="center"/>
            </w:pPr>
            <w:r>
              <w:rPr>
                <w:b w:val="false"/>
                <w:bCs w:val="false"/>
                <w:color w:val="222222"/>
                <w:sz w:val="20"/>
                <w:szCs w:val="20"/>
              </w:rPr>
              <w:t xml:space="preserve">-3.50</w:t>
            </w:r>
          </w:p>
        </w:tc>
        <w:tc>
          <w:tcPr>
            <w:tcW w:type="auto" w:w="12"/>
            <w:tcMar>
              <w:top w:type="dxa" w:w="80"/>
              <w:left w:type="dxa" w:w="120"/>
              <w:bottom w:type="dxa" w:w="80"/>
              <w:right w:type="dxa" w:w="120"/>
            </w:tcMar>
            <w:vAlign w:val="center"/>
          </w:tcPr>
          <w:p>
            <w:pPr>
              <w:jc w:val="center"/>
            </w:pPr>
            <w:r>
              <w:rPr>
                <w:b w:val="false"/>
                <w:bCs w:val="false"/>
                <w:color w:val="222222"/>
                <w:sz w:val="20"/>
                <w:szCs w:val="20"/>
              </w:rPr>
              <w:t xml:space="preserve">5.50</w:t>
            </w:r>
          </w:p>
        </w:tc>
        <w:tc>
          <w:tcPr>
            <w:tcW w:type="auto" w:w="17"/>
            <w:tcMar>
              <w:top w:type="dxa" w:w="80"/>
              <w:left w:type="dxa" w:w="120"/>
              <w:bottom w:type="dxa" w:w="80"/>
              <w:right w:type="dxa" w:w="120"/>
            </w:tcMar>
            <w:vAlign w:val="center"/>
          </w:tcPr>
          <w:p>
            <w:pPr>
              <w:jc w:val="center"/>
            </w:pPr>
            <w:r>
              <w:rPr>
                <w:b w:val="false"/>
                <w:bCs w:val="false"/>
                <w:color w:val="222222"/>
                <w:sz w:val="20"/>
                <w:szCs w:val="20"/>
              </w:rPr>
              <w:t xml:space="preserve">4,461</w:t>
            </w:r>
          </w:p>
        </w:tc>
      </w:tr>
      <w:tr>
        <w:tc>
          <w:tcPr>
            <w:tcW w:type="auto" w:w="26"/>
            <w:shd w:fill="EAF3E8" w:color="auto" w:val="clear"/>
            <w:tcMar>
              <w:top w:type="dxa" w:w="80"/>
              <w:left w:type="dxa" w:w="120"/>
              <w:bottom w:type="dxa" w:w="80"/>
              <w:right w:type="dxa" w:w="120"/>
            </w:tcMar>
            <w:vAlign w:val="center"/>
          </w:tcPr>
          <w:p>
            <w:pPr>
              <w:jc w:val="left"/>
            </w:pPr>
            <w:r>
              <w:rPr>
                <w:b w:val="false"/>
                <w:bCs w:val="false"/>
                <w:color w:val="222222"/>
                <w:sz w:val="20"/>
                <w:szCs w:val="20"/>
              </w:rPr>
              <w:t xml:space="preserve">adults</w:t>
            </w:r>
          </w:p>
        </w:tc>
        <w:tc>
          <w:tcPr>
            <w:tcW w:type="auto" w:w="11"/>
            <w:shd w:fill="EAF3E8" w:color="auto" w:val="clear"/>
            <w:tcMar>
              <w:top w:type="dxa" w:w="80"/>
              <w:left w:type="dxa" w:w="120"/>
              <w:bottom w:type="dxa" w:w="80"/>
              <w:right w:type="dxa" w:w="120"/>
            </w:tcMar>
            <w:vAlign w:val="center"/>
          </w:tcPr>
          <w:p>
            <w:pPr>
              <w:jc w:val="center"/>
            </w:pPr>
            <w:r>
              <w:rPr>
                <w:b w:val="false"/>
                <w:bCs w:val="false"/>
                <w:color w:val="222222"/>
                <w:sz w:val="20"/>
                <w:szCs w:val="20"/>
              </w:rPr>
              <w:t xml:space="preserve">2.00</w:t>
            </w:r>
          </w:p>
        </w:tc>
        <w:tc>
          <w:tcPr>
            <w:tcW w:type="auto" w:w="11"/>
            <w:shd w:fill="EAF3E8" w:color="auto" w:val="clear"/>
            <w:tcMar>
              <w:top w:type="dxa" w:w="80"/>
              <w:left w:type="dxa" w:w="120"/>
              <w:bottom w:type="dxa" w:w="80"/>
              <w:right w:type="dxa" w:w="120"/>
            </w:tcMar>
            <w:vAlign w:val="center"/>
          </w:tcPr>
          <w:p>
            <w:pPr>
              <w:jc w:val="center"/>
            </w:pPr>
            <w:r>
              <w:rPr>
                <w:b w:val="false"/>
                <w:bCs w:val="false"/>
                <w:color w:val="222222"/>
                <w:sz w:val="20"/>
                <w:szCs w:val="20"/>
              </w:rPr>
              <w:t xml:space="preserve">2.00</w:t>
            </w:r>
          </w:p>
        </w:tc>
        <w:tc>
          <w:tcPr>
            <w:tcW w:type="auto" w:w="11"/>
            <w:shd w:fill="EAF3E8" w:color="auto" w:val="clear"/>
            <w:tcMar>
              <w:top w:type="dxa" w:w="80"/>
              <w:left w:type="dxa" w:w="120"/>
              <w:bottom w:type="dxa" w:w="80"/>
              <w:right w:type="dxa" w:w="120"/>
            </w:tcMar>
            <w:vAlign w:val="center"/>
          </w:tcPr>
          <w:p>
            <w:pPr>
              <w:jc w:val="center"/>
            </w:pPr>
            <w:r>
              <w:rPr>
                <w:b w:val="false"/>
                <w:bCs w:val="false"/>
                <w:color w:val="222222"/>
                <w:sz w:val="20"/>
                <w:szCs w:val="20"/>
              </w:rPr>
              <w:t xml:space="preserve">0.00</w:t>
            </w:r>
          </w:p>
        </w:tc>
        <w:tc>
          <w:tcPr>
            <w:tcW w:type="auto" w:w="12"/>
            <w:shd w:fill="EAF3E8" w:color="auto" w:val="clear"/>
            <w:tcMar>
              <w:top w:type="dxa" w:w="80"/>
              <w:left w:type="dxa" w:w="120"/>
              <w:bottom w:type="dxa" w:w="80"/>
              <w:right w:type="dxa" w:w="120"/>
            </w:tcMar>
            <w:vAlign w:val="center"/>
          </w:tcPr>
          <w:p>
            <w:pPr>
              <w:jc w:val="center"/>
            </w:pPr>
            <w:r>
              <w:rPr>
                <w:b w:val="false"/>
                <w:bCs w:val="false"/>
                <w:color w:val="222222"/>
                <w:sz w:val="20"/>
                <w:szCs w:val="20"/>
              </w:rPr>
              <w:t xml:space="preserve">2.00</w:t>
            </w:r>
          </w:p>
        </w:tc>
        <w:tc>
          <w:tcPr>
            <w:tcW w:type="auto" w:w="12"/>
            <w:shd w:fill="EAF3E8" w:color="auto" w:val="clear"/>
            <w:tcMar>
              <w:top w:type="dxa" w:w="80"/>
              <w:left w:type="dxa" w:w="120"/>
              <w:bottom w:type="dxa" w:w="80"/>
              <w:right w:type="dxa" w:w="120"/>
            </w:tcMar>
            <w:vAlign w:val="center"/>
          </w:tcPr>
          <w:p>
            <w:pPr>
              <w:jc w:val="center"/>
            </w:pPr>
            <w:r>
              <w:rPr>
                <w:b w:val="false"/>
                <w:bCs w:val="false"/>
                <w:color w:val="222222"/>
                <w:sz w:val="20"/>
                <w:szCs w:val="20"/>
              </w:rPr>
              <w:t xml:space="preserve">2.00</w:t>
            </w:r>
          </w:p>
        </w:tc>
        <w:tc>
          <w:tcPr>
            <w:tcW w:type="auto" w:w="17"/>
            <w:shd w:fill="EAF3E8" w:color="auto" w:val="clear"/>
            <w:tcMar>
              <w:top w:type="dxa" w:w="80"/>
              <w:left w:type="dxa" w:w="120"/>
              <w:bottom w:type="dxa" w:w="80"/>
              <w:right w:type="dxa" w:w="120"/>
            </w:tcMar>
            <w:vAlign w:val="center"/>
          </w:tcPr>
          <w:p>
            <w:pPr>
              <w:jc w:val="center"/>
            </w:pPr>
            <w:r>
              <w:rPr>
                <w:b w:val="false"/>
                <w:bCs w:val="false"/>
                <w:color w:val="222222"/>
                <w:sz w:val="20"/>
                <w:szCs w:val="20"/>
              </w:rPr>
              <w:t xml:space="preserve">22,716</w:t>
            </w:r>
          </w:p>
        </w:tc>
      </w:tr>
    </w:tbl>
    <w:p>
      <w:pPr>
        <w:spacing w:after="220" w:before="100"/>
      </w:pPr>
      <w:r>
        <w:rPr>
          <w:i/>
          <w:iCs/>
          <w:color w:val="666666"/>
          <w:sz w:val="18"/>
          <w:szCs w:val="18"/>
        </w:rPr>
        <w:t xml:space="preserve">Note: the notebook's diagnostic helper computes the upper flag threshold as Q1 + 1.5×IQR (rather than Q3 + 1.5×IQR), which is why 'adults' — whose Q1 and Q3 are both 2.0 — shows a large outlier count under this rule; this function is used only for diagnostic reporting, not for capping.</w:t>
      </w:r>
    </w:p>
    <w:p>
      <w:pPr>
        <w:pStyle w:val="Heading2"/>
        <w:spacing w:after="120" w:before="260"/>
      </w:pPr>
      <w:r>
        <w:rPr>
          <w:b/>
          <w:bCs/>
          <w:color w:val="1F3864"/>
          <w:sz w:val="24"/>
          <w:szCs w:val="24"/>
        </w:rPr>
        <w:t xml:space="preserve">5.2 Boxplots Before Capping</w:t>
      </w:r>
    </w:p>
    <w:p>
      <w:pPr>
        <w:jc w:val="center"/>
      </w:pPr>
      <w:r>
        <w:drawing>
          <wp:inline distT="0" distB="0" distL="0" distR="0">
            <wp:extent cx="5905500"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476375"/>
                    </a:xfrm>
                    <a:prstGeom prst="rect">
                      <a:avLst/>
                    </a:prstGeom>
                  </pic:spPr>
                </pic:pic>
              </a:graphicData>
            </a:graphic>
          </wp:inline>
        </w:drawing>
      </w:r>
    </w:p>
    <w:p>
      <w:pPr>
        <w:spacing w:after="220" w:before="100"/>
        <w:jc w:val="center"/>
      </w:pPr>
      <w:r>
        <w:rPr>
          <w:i/>
          <w:iCs/>
          <w:color w:val="555555"/>
          <w:sz w:val="18"/>
          <w:szCs w:val="18"/>
        </w:rPr>
        <w:t xml:space="preserve">Figure 1: Distribution of key numeric columns before outlier treatment. Long whiskers and points above the box indicate right-skewed distributions with extreme high values.</w:t>
      </w:r>
    </w:p>
    <w:p>
      <w:pPr>
        <w:pStyle w:val="Heading2"/>
        <w:spacing w:after="120" w:before="260"/>
      </w:pPr>
      <w:r>
        <w:rPr>
          <w:b/>
          <w:bCs/>
          <w:color w:val="1F3864"/>
          <w:sz w:val="24"/>
          <w:szCs w:val="24"/>
        </w:rPr>
        <w:t xml:space="preserve">5.3 Capping Extreme Values</w:t>
      </w:r>
    </w:p>
    <w:p>
      <w:pPr>
        <w:spacing w:after="160" w:line="276"/>
        <w:jc w:val="both"/>
      </w:pPr>
      <w:r>
        <w:rPr>
          <w:color w:val="222222"/>
          <w:sz w:val="21"/>
          <w:szCs w:val="21"/>
        </w:rPr>
        <w:t xml:space="preserve">Rather than deleting outlier rows, extreme values were capped (winsorized) to the IQR bounds using [Q1 − 1.5×IQR, Q3 + 1.5×IQR]. Values below the lower bound were raised to it, and values above the upper bound were reduced to it, preserving record count while limiting the influence of extreme values.</w:t>
      </w:r>
    </w:p>
    <w:tbl>
      <w:tblPr>
        <w:tblW w:type="auto" w:w="100"/>
        <w:tblBorders>
          <w:top w:val="single" w:color="BFBFBF" w:sz="4"/>
          <w:left w:val="single" w:color="BFBFBF" w:sz="4"/>
          <w:bottom w:val="single" w:color="BFBFBF" w:sz="4"/>
          <w:right w:val="single" w:color="BFBFBF" w:sz="4"/>
          <w:insideH w:val="single" w:color="D9D9D9" w:sz="4"/>
          <w:insideV w:val="single" w:color="D9D9D9" w:sz="4"/>
        </w:tblBorders>
      </w:tblPr>
      <w:tblGrid>
        <w:gridCol w:w="100"/>
        <w:gridCol w:w="100"/>
        <w:gridCol w:w="100"/>
      </w:tblGrid>
      <w:tr>
        <w:trPr>
          <w:tblHeader/>
        </w:trPr>
        <w:tc>
          <w:tcPr>
            <w:tcW w:type="auto" w:w="46"/>
            <w:shd w:fill="1F3864" w:color="auto" w:val="clear"/>
            <w:tcMar>
              <w:top w:type="dxa" w:w="80"/>
              <w:left w:type="dxa" w:w="120"/>
              <w:bottom w:type="dxa" w:w="80"/>
              <w:right w:type="dxa" w:w="120"/>
            </w:tcMar>
            <w:vAlign w:val="center"/>
          </w:tcPr>
          <w:p>
            <w:pPr>
              <w:jc w:val="center"/>
            </w:pPr>
            <w:r>
              <w:rPr>
                <w:b/>
                <w:bCs/>
                <w:color w:val="FFFFFF"/>
                <w:sz w:val="20"/>
                <w:szCs w:val="20"/>
              </w:rPr>
              <w:t xml:space="preserve">Column</w:t>
            </w:r>
          </w:p>
        </w:tc>
        <w:tc>
          <w:tcPr>
            <w:tcW w:type="auto" w:w="27"/>
            <w:shd w:fill="1F3864" w:color="auto" w:val="clear"/>
            <w:tcMar>
              <w:top w:type="dxa" w:w="80"/>
              <w:left w:type="dxa" w:w="120"/>
              <w:bottom w:type="dxa" w:w="80"/>
              <w:right w:type="dxa" w:w="120"/>
            </w:tcMar>
            <w:vAlign w:val="center"/>
          </w:tcPr>
          <w:p>
            <w:pPr>
              <w:jc w:val="center"/>
            </w:pPr>
            <w:r>
              <w:rPr>
                <w:b/>
                <w:bCs/>
                <w:color w:val="FFFFFF"/>
                <w:sz w:val="20"/>
                <w:szCs w:val="20"/>
              </w:rPr>
              <w:t xml:space="preserve">Lower Bound</w:t>
            </w:r>
          </w:p>
        </w:tc>
        <w:tc>
          <w:tcPr>
            <w:tcW w:type="auto" w:w="27"/>
            <w:shd w:fill="1F3864" w:color="auto" w:val="clear"/>
            <w:tcMar>
              <w:top w:type="dxa" w:w="80"/>
              <w:left w:type="dxa" w:w="120"/>
              <w:bottom w:type="dxa" w:w="80"/>
              <w:right w:type="dxa" w:w="120"/>
            </w:tcMar>
            <w:vAlign w:val="center"/>
          </w:tcPr>
          <w:p>
            <w:pPr>
              <w:jc w:val="center"/>
            </w:pPr>
            <w:r>
              <w:rPr>
                <w:b/>
                <w:bCs/>
                <w:color w:val="FFFFFF"/>
                <w:sz w:val="20"/>
                <w:szCs w:val="20"/>
              </w:rPr>
              <w:t xml:space="preserve">Upper Bound</w:t>
            </w:r>
          </w:p>
        </w:tc>
      </w:tr>
      <w:tr>
        <w:tc>
          <w:tcPr>
            <w:tcW w:type="auto" w:w="46"/>
            <w:tcMar>
              <w:top w:type="dxa" w:w="80"/>
              <w:left w:type="dxa" w:w="120"/>
              <w:bottom w:type="dxa" w:w="80"/>
              <w:right w:type="dxa" w:w="120"/>
            </w:tcMar>
            <w:vAlign w:val="center"/>
          </w:tcPr>
          <w:p>
            <w:pPr>
              <w:jc w:val="left"/>
            </w:pPr>
            <w:r>
              <w:rPr>
                <w:b w:val="false"/>
                <w:bCs w:val="false"/>
                <w:color w:val="222222"/>
                <w:sz w:val="20"/>
                <w:szCs w:val="20"/>
              </w:rPr>
              <w:t xml:space="preserve">adr</w:t>
            </w:r>
          </w:p>
        </w:tc>
        <w:tc>
          <w:tcPr>
            <w:tcW w:type="auto" w:w="27"/>
            <w:tcMar>
              <w:top w:type="dxa" w:w="80"/>
              <w:left w:type="dxa" w:w="120"/>
              <w:bottom w:type="dxa" w:w="80"/>
              <w:right w:type="dxa" w:w="120"/>
            </w:tcMar>
            <w:vAlign w:val="center"/>
          </w:tcPr>
          <w:p>
            <w:pPr>
              <w:jc w:val="center"/>
            </w:pPr>
            <w:r>
              <w:rPr>
                <w:b w:val="false"/>
                <w:bCs w:val="false"/>
                <w:color w:val="222222"/>
                <w:sz w:val="20"/>
                <w:szCs w:val="20"/>
              </w:rPr>
              <w:t xml:space="preserve">-20.52</w:t>
            </w:r>
          </w:p>
        </w:tc>
        <w:tc>
          <w:tcPr>
            <w:tcW w:type="auto" w:w="27"/>
            <w:tcMar>
              <w:top w:type="dxa" w:w="80"/>
              <w:left w:type="dxa" w:w="120"/>
              <w:bottom w:type="dxa" w:w="80"/>
              <w:right w:type="dxa" w:w="120"/>
            </w:tcMar>
            <w:vAlign w:val="center"/>
          </w:tcPr>
          <w:p>
            <w:pPr>
              <w:jc w:val="center"/>
            </w:pPr>
            <w:r>
              <w:rPr>
                <w:b w:val="false"/>
                <w:bCs w:val="false"/>
                <w:color w:val="222222"/>
                <w:sz w:val="20"/>
                <w:szCs w:val="20"/>
              </w:rPr>
              <w:t xml:space="preserve">226.88</w:t>
            </w:r>
          </w:p>
        </w:tc>
      </w:tr>
      <w:tr>
        <w:tc>
          <w:tcPr>
            <w:tcW w:type="auto" w:w="46"/>
            <w:shd w:fill="EAF3E8" w:color="auto" w:val="clear"/>
            <w:tcMar>
              <w:top w:type="dxa" w:w="80"/>
              <w:left w:type="dxa" w:w="120"/>
              <w:bottom w:type="dxa" w:w="80"/>
              <w:right w:type="dxa" w:w="120"/>
            </w:tcMar>
            <w:vAlign w:val="center"/>
          </w:tcPr>
          <w:p>
            <w:pPr>
              <w:jc w:val="left"/>
            </w:pPr>
            <w:r>
              <w:rPr>
                <w:b w:val="false"/>
                <w:bCs w:val="false"/>
                <w:color w:val="222222"/>
                <w:sz w:val="20"/>
                <w:szCs w:val="20"/>
              </w:rPr>
              <w:t xml:space="preserve">lead_time</w:t>
            </w:r>
          </w:p>
        </w:tc>
        <w:tc>
          <w:tcPr>
            <w:tcW w:type="auto" w:w="27"/>
            <w:shd w:fill="EAF3E8" w:color="auto" w:val="clear"/>
            <w:tcMar>
              <w:top w:type="dxa" w:w="80"/>
              <w:left w:type="dxa" w:w="120"/>
              <w:bottom w:type="dxa" w:w="80"/>
              <w:right w:type="dxa" w:w="120"/>
            </w:tcMar>
            <w:vAlign w:val="center"/>
          </w:tcPr>
          <w:p>
            <w:pPr>
              <w:jc w:val="center"/>
            </w:pPr>
            <w:r>
              <w:rPr>
                <w:b w:val="false"/>
                <w:bCs w:val="false"/>
                <w:color w:val="222222"/>
                <w:sz w:val="20"/>
                <w:szCs w:val="20"/>
              </w:rPr>
              <w:t xml:space="preserve">-160.00</w:t>
            </w:r>
          </w:p>
        </w:tc>
        <w:tc>
          <w:tcPr>
            <w:tcW w:type="auto" w:w="27"/>
            <w:shd w:fill="EAF3E8" w:color="auto" w:val="clear"/>
            <w:tcMar>
              <w:top w:type="dxa" w:w="80"/>
              <w:left w:type="dxa" w:w="120"/>
              <w:bottom w:type="dxa" w:w="80"/>
              <w:right w:type="dxa" w:w="120"/>
            </w:tcMar>
            <w:vAlign w:val="center"/>
          </w:tcPr>
          <w:p>
            <w:pPr>
              <w:jc w:val="center"/>
            </w:pPr>
            <w:r>
              <w:rPr>
                <w:b w:val="false"/>
                <w:bCs w:val="false"/>
                <w:color w:val="222222"/>
                <w:sz w:val="20"/>
                <w:szCs w:val="20"/>
              </w:rPr>
              <w:t xml:space="preserve">296.00</w:t>
            </w:r>
          </w:p>
        </w:tc>
      </w:tr>
      <w:tr>
        <w:tc>
          <w:tcPr>
            <w:tcW w:type="auto" w:w="46"/>
            <w:tcMar>
              <w:top w:type="dxa" w:w="80"/>
              <w:left w:type="dxa" w:w="120"/>
              <w:bottom w:type="dxa" w:w="80"/>
              <w:right w:type="dxa" w:w="120"/>
            </w:tcMar>
            <w:vAlign w:val="center"/>
          </w:tcPr>
          <w:p>
            <w:pPr>
              <w:jc w:val="left"/>
            </w:pPr>
            <w:r>
              <w:rPr>
                <w:b w:val="false"/>
                <w:bCs w:val="false"/>
                <w:color w:val="222222"/>
                <w:sz w:val="20"/>
                <w:szCs w:val="20"/>
              </w:rPr>
              <w:t xml:space="preserve">stays_in_week_nights</w:t>
            </w:r>
          </w:p>
        </w:tc>
        <w:tc>
          <w:tcPr>
            <w:tcW w:type="auto" w:w="27"/>
            <w:tcMar>
              <w:top w:type="dxa" w:w="80"/>
              <w:left w:type="dxa" w:w="120"/>
              <w:bottom w:type="dxa" w:w="80"/>
              <w:right w:type="dxa" w:w="120"/>
            </w:tcMar>
            <w:vAlign w:val="center"/>
          </w:tcPr>
          <w:p>
            <w:pPr>
              <w:jc w:val="center"/>
            </w:pPr>
            <w:r>
              <w:rPr>
                <w:b w:val="false"/>
                <w:bCs w:val="false"/>
                <w:color w:val="222222"/>
                <w:sz w:val="20"/>
                <w:szCs w:val="20"/>
              </w:rPr>
              <w:t xml:space="preserve">-3.50</w:t>
            </w:r>
          </w:p>
        </w:tc>
        <w:tc>
          <w:tcPr>
            <w:tcW w:type="auto" w:w="27"/>
            <w:tcMar>
              <w:top w:type="dxa" w:w="80"/>
              <w:left w:type="dxa" w:w="120"/>
              <w:bottom w:type="dxa" w:w="80"/>
              <w:right w:type="dxa" w:w="120"/>
            </w:tcMar>
            <w:vAlign w:val="center"/>
          </w:tcPr>
          <w:p>
            <w:pPr>
              <w:jc w:val="center"/>
            </w:pPr>
            <w:r>
              <w:rPr>
                <w:b w:val="false"/>
                <w:bCs w:val="false"/>
                <w:color w:val="222222"/>
                <w:sz w:val="20"/>
                <w:szCs w:val="20"/>
              </w:rPr>
              <w:t xml:space="preserve">8.50</w:t>
            </w:r>
          </w:p>
        </w:tc>
      </w:tr>
      <w:tr>
        <w:tc>
          <w:tcPr>
            <w:tcW w:type="auto" w:w="46"/>
            <w:shd w:fill="EAF3E8" w:color="auto" w:val="clear"/>
            <w:tcMar>
              <w:top w:type="dxa" w:w="80"/>
              <w:left w:type="dxa" w:w="120"/>
              <w:bottom w:type="dxa" w:w="80"/>
              <w:right w:type="dxa" w:w="120"/>
            </w:tcMar>
            <w:vAlign w:val="center"/>
          </w:tcPr>
          <w:p>
            <w:pPr>
              <w:jc w:val="left"/>
            </w:pPr>
            <w:r>
              <w:rPr>
                <w:b w:val="false"/>
                <w:bCs w:val="false"/>
                <w:color w:val="222222"/>
                <w:sz w:val="20"/>
                <w:szCs w:val="20"/>
              </w:rPr>
              <w:t xml:space="preserve">stays_in_weekend_nights</w:t>
            </w:r>
          </w:p>
        </w:tc>
        <w:tc>
          <w:tcPr>
            <w:tcW w:type="auto" w:w="27"/>
            <w:shd w:fill="EAF3E8" w:color="auto" w:val="clear"/>
            <w:tcMar>
              <w:top w:type="dxa" w:w="80"/>
              <w:left w:type="dxa" w:w="120"/>
              <w:bottom w:type="dxa" w:w="80"/>
              <w:right w:type="dxa" w:w="120"/>
            </w:tcMar>
            <w:vAlign w:val="center"/>
          </w:tcPr>
          <w:p>
            <w:pPr>
              <w:jc w:val="center"/>
            </w:pPr>
            <w:r>
              <w:rPr>
                <w:b w:val="false"/>
                <w:bCs w:val="false"/>
                <w:color w:val="222222"/>
                <w:sz w:val="20"/>
                <w:szCs w:val="20"/>
              </w:rPr>
              <w:t xml:space="preserve">-3.00</w:t>
            </w:r>
          </w:p>
        </w:tc>
        <w:tc>
          <w:tcPr>
            <w:tcW w:type="auto" w:w="27"/>
            <w:shd w:fill="EAF3E8" w:color="auto" w:val="clear"/>
            <w:tcMar>
              <w:top w:type="dxa" w:w="80"/>
              <w:left w:type="dxa" w:w="120"/>
              <w:bottom w:type="dxa" w:w="80"/>
              <w:right w:type="dxa" w:w="120"/>
            </w:tcMar>
            <w:vAlign w:val="center"/>
          </w:tcPr>
          <w:p>
            <w:pPr>
              <w:jc w:val="center"/>
            </w:pPr>
            <w:r>
              <w:rPr>
                <w:b w:val="false"/>
                <w:bCs w:val="false"/>
                <w:color w:val="222222"/>
                <w:sz w:val="20"/>
                <w:szCs w:val="20"/>
              </w:rPr>
              <w:t xml:space="preserve">5.00</w:t>
            </w:r>
          </w:p>
        </w:tc>
      </w:tr>
    </w:tbl>
    <w:p>
      <w:pPr>
        <w:spacing w:after="200"/>
      </w:pPr>
    </w:p>
    <w:p>
      <w:pPr>
        <w:pStyle w:val="Heading2"/>
        <w:spacing w:after="120" w:before="260"/>
      </w:pPr>
      <w:r>
        <w:rPr>
          <w:b/>
          <w:bCs/>
          <w:color w:val="1F3864"/>
          <w:sz w:val="24"/>
          <w:szCs w:val="24"/>
        </w:rPr>
        <w:t xml:space="preserve">5.4 Boxplots After Capping</w:t>
      </w:r>
    </w:p>
    <w:p>
      <w:pPr>
        <w:jc w:val="center"/>
      </w:pPr>
      <w:r>
        <w:drawing>
          <wp:inline distT="0" distB="0" distL="0" distR="0">
            <wp:extent cx="5905500"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476375"/>
                    </a:xfrm>
                    <a:prstGeom prst="rect">
                      <a:avLst/>
                    </a:prstGeom>
                  </pic:spPr>
                </pic:pic>
              </a:graphicData>
            </a:graphic>
          </wp:inline>
        </w:drawing>
      </w:r>
    </w:p>
    <w:p>
      <w:pPr>
        <w:spacing w:after="220" w:before="100"/>
        <w:jc w:val="center"/>
      </w:pPr>
      <w:r>
        <w:rPr>
          <w:i/>
          <w:iCs/>
          <w:color w:val="555555"/>
          <w:sz w:val="18"/>
          <w:szCs w:val="18"/>
        </w:rPr>
        <w:t xml:space="preserve">Figure 2: Distribution of the same columns after capping. Extreme values are constrained to the calculated bounds, tightening the spread while keeping all records in the dataset.</w:t>
      </w:r>
    </w:p>
    <w:p>
      <w:pPr>
        <w:pStyle w:val="Heading1"/>
        <w:pBdr>
          <w:bottom w:val="single" w:color="1F3864" w:sz="6" w:space="4"/>
        </w:pBdr>
        <w:spacing w:after="160" w:before="320"/>
      </w:pPr>
      <w:r>
        <w:rPr>
          <w:b/>
          <w:bCs/>
          <w:color w:val="1F3864"/>
          <w:sz w:val="30"/>
          <w:szCs w:val="30"/>
        </w:rPr>
        <w:t xml:space="preserve">6. Data Type Conversion</w:t>
      </w:r>
    </w:p>
    <w:p>
      <w:pPr>
        <w:spacing w:after="160" w:line="276"/>
        <w:jc w:val="both"/>
      </w:pPr>
      <w:r>
        <w:rPr>
          <w:color w:val="222222"/>
          <w:sz w:val="21"/>
          <w:szCs w:val="21"/>
        </w:rPr>
        <w:t xml:space="preserve">Several columns were stored with data types that did not reflect their true nature. These were corrected to enable efficient storage, correct aggregation behavior, and proper chronological operations.</w:t>
      </w:r>
    </w:p>
    <w:tbl>
      <w:tblPr>
        <w:tblW w:type="auto" w:w="100"/>
        <w:tblBorders>
          <w:top w:val="single" w:color="BFBFBF" w:sz="4"/>
          <w:left w:val="single" w:color="BFBFBF" w:sz="4"/>
          <w:bottom w:val="single" w:color="BFBFBF" w:sz="4"/>
          <w:right w:val="single" w:color="BFBFBF" w:sz="4"/>
          <w:insideH w:val="single" w:color="D9D9D9" w:sz="4"/>
          <w:insideV w:val="single" w:color="D9D9D9" w:sz="4"/>
        </w:tblBorders>
      </w:tblPr>
      <w:tblGrid>
        <w:gridCol w:w="100"/>
        <w:gridCol w:w="100"/>
        <w:gridCol w:w="100"/>
      </w:tblGrid>
      <w:tr>
        <w:trPr>
          <w:tblHeader/>
        </w:trPr>
        <w:tc>
          <w:tcPr>
            <w:tcW w:type="auto" w:w="18"/>
            <w:shd w:fill="1F3864" w:color="auto" w:val="clear"/>
            <w:tcMar>
              <w:top w:type="dxa" w:w="80"/>
              <w:left w:type="dxa" w:w="120"/>
              <w:bottom w:type="dxa" w:w="80"/>
              <w:right w:type="dxa" w:w="120"/>
            </w:tcMar>
            <w:vAlign w:val="center"/>
          </w:tcPr>
          <w:p>
            <w:pPr>
              <w:jc w:val="center"/>
            </w:pPr>
            <w:r>
              <w:rPr>
                <w:b/>
                <w:bCs/>
                <w:color w:val="FFFFFF"/>
                <w:sz w:val="20"/>
                <w:szCs w:val="20"/>
              </w:rPr>
              <w:t xml:space="preserve">Conversion</w:t>
            </w:r>
          </w:p>
        </w:tc>
        <w:tc>
          <w:tcPr>
            <w:tcW w:type="auto" w:w="32"/>
            <w:shd w:fill="1F3864" w:color="auto" w:val="clear"/>
            <w:tcMar>
              <w:top w:type="dxa" w:w="80"/>
              <w:left w:type="dxa" w:w="120"/>
              <w:bottom w:type="dxa" w:w="80"/>
              <w:right w:type="dxa" w:w="120"/>
            </w:tcMar>
            <w:vAlign w:val="center"/>
          </w:tcPr>
          <w:p>
            <w:pPr>
              <w:jc w:val="center"/>
            </w:pPr>
            <w:r>
              <w:rPr>
                <w:b/>
                <w:bCs/>
                <w:color w:val="FFFFFF"/>
                <w:sz w:val="20"/>
                <w:szCs w:val="20"/>
              </w:rPr>
              <w:t xml:space="preserve">Columns Affected</w:t>
            </w:r>
          </w:p>
        </w:tc>
        <w:tc>
          <w:tcPr>
            <w:tcW w:type="auto" w:w="50"/>
            <w:shd w:fill="1F3864" w:color="auto" w:val="clear"/>
            <w:tcMar>
              <w:top w:type="dxa" w:w="80"/>
              <w:left w:type="dxa" w:w="120"/>
              <w:bottom w:type="dxa" w:w="80"/>
              <w:right w:type="dxa" w:w="120"/>
            </w:tcMar>
            <w:vAlign w:val="center"/>
          </w:tcPr>
          <w:p>
            <w:pPr>
              <w:jc w:val="center"/>
            </w:pPr>
            <w:r>
              <w:rPr>
                <w:b/>
                <w:bCs/>
                <w:color w:val="FFFFFF"/>
                <w:sz w:val="20"/>
                <w:szCs w:val="20"/>
              </w:rPr>
              <w:t xml:space="preserve">Reason</w:t>
            </w:r>
          </w:p>
        </w:tc>
      </w:tr>
      <w:tr>
        <w:tc>
          <w:tcPr>
            <w:tcW w:type="auto" w:w="18"/>
            <w:tcMar>
              <w:top w:type="dxa" w:w="80"/>
              <w:left w:type="dxa" w:w="120"/>
              <w:bottom w:type="dxa" w:w="80"/>
              <w:right w:type="dxa" w:w="120"/>
            </w:tcMar>
            <w:vAlign w:val="center"/>
          </w:tcPr>
          <w:p>
            <w:pPr>
              <w:jc w:val="left"/>
            </w:pPr>
            <w:r>
              <w:rPr>
                <w:b w:val="false"/>
                <w:bCs w:val="false"/>
                <w:color w:val="222222"/>
                <w:sz w:val="20"/>
                <w:szCs w:val="20"/>
              </w:rPr>
              <w:t xml:space="preserve">object → category</w:t>
            </w:r>
          </w:p>
        </w:tc>
        <w:tc>
          <w:tcPr>
            <w:tcW w:type="auto" w:w="32"/>
            <w:tcMar>
              <w:top w:type="dxa" w:w="80"/>
              <w:left w:type="dxa" w:w="120"/>
              <w:bottom w:type="dxa" w:w="80"/>
              <w:right w:type="dxa" w:w="120"/>
            </w:tcMar>
            <w:vAlign w:val="center"/>
          </w:tcPr>
          <w:p>
            <w:pPr>
              <w:jc w:val="center"/>
            </w:pPr>
            <w:r>
              <w:rPr>
                <w:b w:val="false"/>
                <w:bCs w:val="false"/>
                <w:color w:val="222222"/>
                <w:sz w:val="20"/>
                <w:szCs w:val="20"/>
              </w:rPr>
              <w:t xml:space="preserve">hotel, meal, country, market_segment, distribution_channel, reserved_room_type, assigned_room_type, deposit_type, customer_type, reservation_status</w:t>
            </w:r>
          </w:p>
        </w:tc>
        <w:tc>
          <w:tcPr>
            <w:tcW w:type="auto" w:w="50"/>
            <w:tcMar>
              <w:top w:type="dxa" w:w="80"/>
              <w:left w:type="dxa" w:w="120"/>
              <w:bottom w:type="dxa" w:w="80"/>
              <w:right w:type="dxa" w:w="120"/>
            </w:tcMar>
            <w:vAlign w:val="center"/>
          </w:tcPr>
          <w:p>
            <w:pPr>
              <w:jc w:val="center"/>
            </w:pPr>
            <w:r>
              <w:rPr>
                <w:b w:val="false"/>
                <w:bCs w:val="false"/>
                <w:color w:val="222222"/>
                <w:sz w:val="20"/>
                <w:szCs w:val="20"/>
              </w:rPr>
              <w:t xml:space="preserve">Categorical fields with a limited set of repeating values; category dtype reduces memory usage and speeds up group-by/filtering.</w:t>
            </w:r>
          </w:p>
        </w:tc>
      </w:tr>
      <w:tr>
        <w:tc>
          <w:tcPr>
            <w:tcW w:type="auto" w:w="18"/>
            <w:shd w:fill="EAF3E8" w:color="auto" w:val="clear"/>
            <w:tcMar>
              <w:top w:type="dxa" w:w="80"/>
              <w:left w:type="dxa" w:w="120"/>
              <w:bottom w:type="dxa" w:w="80"/>
              <w:right w:type="dxa" w:w="120"/>
            </w:tcMar>
            <w:vAlign w:val="center"/>
          </w:tcPr>
          <w:p>
            <w:pPr>
              <w:jc w:val="left"/>
            </w:pPr>
            <w:r>
              <w:rPr>
                <w:b w:val="false"/>
                <w:bCs w:val="false"/>
                <w:color w:val="222222"/>
                <w:sz w:val="20"/>
                <w:szCs w:val="20"/>
              </w:rPr>
              <w:t xml:space="preserve">float64 → int64</w:t>
            </w:r>
          </w:p>
        </w:tc>
        <w:tc>
          <w:tcPr>
            <w:tcW w:type="auto" w:w="32"/>
            <w:shd w:fill="EAF3E8" w:color="auto" w:val="clear"/>
            <w:tcMar>
              <w:top w:type="dxa" w:w="80"/>
              <w:left w:type="dxa" w:w="120"/>
              <w:bottom w:type="dxa" w:w="80"/>
              <w:right w:type="dxa" w:w="120"/>
            </w:tcMar>
            <w:vAlign w:val="center"/>
          </w:tcPr>
          <w:p>
            <w:pPr>
              <w:jc w:val="center"/>
            </w:pPr>
            <w:r>
              <w:rPr>
                <w:b w:val="false"/>
                <w:bCs w:val="false"/>
                <w:color w:val="222222"/>
                <w:sz w:val="20"/>
                <w:szCs w:val="20"/>
              </w:rPr>
              <w:t xml:space="preserve">children, agent</w:t>
            </w:r>
          </w:p>
        </w:tc>
        <w:tc>
          <w:tcPr>
            <w:tcW w:type="auto" w:w="50"/>
            <w:shd w:fill="EAF3E8" w:color="auto" w:val="clear"/>
            <w:tcMar>
              <w:top w:type="dxa" w:w="80"/>
              <w:left w:type="dxa" w:w="120"/>
              <w:bottom w:type="dxa" w:w="80"/>
              <w:right w:type="dxa" w:w="120"/>
            </w:tcMar>
            <w:vAlign w:val="center"/>
          </w:tcPr>
          <w:p>
            <w:pPr>
              <w:jc w:val="center"/>
            </w:pPr>
            <w:r>
              <w:rPr>
                <w:b w:val="false"/>
                <w:bCs w:val="false"/>
                <w:color w:val="222222"/>
                <w:sz w:val="20"/>
                <w:szCs w:val="20"/>
              </w:rPr>
              <w:t xml:space="preserve">Both represent whole-number counts/IDs. Once missing values were filled, float64 was no longer needed to accommodate NaN, so they were cast to integers.</w:t>
            </w:r>
          </w:p>
        </w:tc>
      </w:tr>
      <w:tr>
        <w:tc>
          <w:tcPr>
            <w:tcW w:type="auto" w:w="18"/>
            <w:tcMar>
              <w:top w:type="dxa" w:w="80"/>
              <w:left w:type="dxa" w:w="120"/>
              <w:bottom w:type="dxa" w:w="80"/>
              <w:right w:type="dxa" w:w="120"/>
            </w:tcMar>
            <w:vAlign w:val="center"/>
          </w:tcPr>
          <w:p>
            <w:pPr>
              <w:jc w:val="left"/>
            </w:pPr>
            <w:r>
              <w:rPr>
                <w:b w:val="false"/>
                <w:bCs w:val="false"/>
                <w:color w:val="222222"/>
                <w:sz w:val="20"/>
                <w:szCs w:val="20"/>
              </w:rPr>
              <w:t xml:space="preserve">3 columns → datetime64</w:t>
            </w:r>
          </w:p>
        </w:tc>
        <w:tc>
          <w:tcPr>
            <w:tcW w:type="auto" w:w="32"/>
            <w:tcMar>
              <w:top w:type="dxa" w:w="80"/>
              <w:left w:type="dxa" w:w="120"/>
              <w:bottom w:type="dxa" w:w="80"/>
              <w:right w:type="dxa" w:w="120"/>
            </w:tcMar>
            <w:vAlign w:val="center"/>
          </w:tcPr>
          <w:p>
            <w:pPr>
              <w:jc w:val="center"/>
            </w:pPr>
            <w:r>
              <w:rPr>
                <w:b w:val="false"/>
                <w:bCs w:val="false"/>
                <w:color w:val="222222"/>
                <w:sz w:val="20"/>
                <w:szCs w:val="20"/>
              </w:rPr>
              <w:t xml:space="preserve">arrival_date_year, arrival_date_month, arrival_date_day_of_month → new arrival_date</w:t>
            </w:r>
          </w:p>
        </w:tc>
        <w:tc>
          <w:tcPr>
            <w:tcW w:type="auto" w:w="50"/>
            <w:tcMar>
              <w:top w:type="dxa" w:w="80"/>
              <w:left w:type="dxa" w:w="120"/>
              <w:bottom w:type="dxa" w:w="80"/>
              <w:right w:type="dxa" w:w="120"/>
            </w:tcMar>
            <w:vAlign w:val="center"/>
          </w:tcPr>
          <w:p>
            <w:pPr>
              <w:jc w:val="center"/>
            </w:pPr>
            <w:r>
              <w:rPr>
                <w:b w:val="false"/>
                <w:bCs w:val="false"/>
                <w:color w:val="222222"/>
                <w:sz w:val="20"/>
                <w:szCs w:val="20"/>
              </w:rPr>
              <w:t xml:space="preserve">Combining year, month, and day into one parsed date enables date-based filtering, sorting, and time-series analysis.</w:t>
            </w:r>
          </w:p>
        </w:tc>
      </w:tr>
    </w:tbl>
    <w:p>
      <w:pPr>
        <w:spacing w:after="200"/>
      </w:pPr>
    </w:p>
    <w:p>
      <w:pPr>
        <w:pStyle w:val="Heading1"/>
        <w:pBdr>
          <w:bottom w:val="single" w:color="1F3864" w:sz="6" w:space="4"/>
        </w:pBdr>
        <w:spacing w:after="160" w:before="320"/>
      </w:pPr>
      <w:r>
        <w:rPr>
          <w:b/>
          <w:bCs/>
          <w:color w:val="1F3864"/>
          <w:sz w:val="30"/>
          <w:szCs w:val="30"/>
        </w:rPr>
        <w:t xml:space="preserve">7. Feature Engineering</w:t>
      </w:r>
    </w:p>
    <w:p>
      <w:pPr>
        <w:spacing w:after="160" w:line="276"/>
        <w:jc w:val="both"/>
      </w:pPr>
      <w:r>
        <w:rPr>
          <w:color w:val="222222"/>
          <w:sz w:val="21"/>
          <w:szCs w:val="21"/>
        </w:rPr>
        <w:t xml:space="preserve">Four derived features were added to make the dataset easier to analyze without repeatedly recomputing common aggregates:</w:t>
      </w:r>
    </w:p>
    <w:p>
      <w:pPr>
        <w:pStyle w:val="ListParagraph"/>
        <w:numPr>
          <w:ilvl w:val="0"/>
          <w:numId w:val="3"/>
        </w:numPr>
        <w:spacing w:after="80"/>
      </w:pPr>
      <w:r>
        <w:rPr>
          <w:color w:val="222222"/>
          <w:sz w:val="21"/>
          <w:szCs w:val="21"/>
        </w:rPr>
        <w:t xml:space="preserve">total_guests — sum of adults, children, and babies, giving a single guest-count metric per booking.</w:t>
      </w:r>
    </w:p>
    <w:p>
      <w:pPr>
        <w:pStyle w:val="ListParagraph"/>
        <w:numPr>
          <w:ilvl w:val="0"/>
          <w:numId w:val="3"/>
        </w:numPr>
        <w:spacing w:after="80"/>
      </w:pPr>
      <w:r>
        <w:rPr>
          <w:color w:val="222222"/>
          <w:sz w:val="21"/>
          <w:szCs w:val="21"/>
        </w:rPr>
        <w:t xml:space="preserve">total_nights — sum of week-night and weekend-night stays, giving total length of stay.</w:t>
      </w:r>
    </w:p>
    <w:p>
      <w:pPr>
        <w:pStyle w:val="ListParagraph"/>
        <w:numPr>
          <w:ilvl w:val="0"/>
          <w:numId w:val="3"/>
        </w:numPr>
        <w:spacing w:after="80"/>
      </w:pPr>
      <w:r>
        <w:rPr>
          <w:color w:val="222222"/>
          <w:sz w:val="21"/>
          <w:szCs w:val="21"/>
        </w:rPr>
        <w:t xml:space="preserve">is_family — binary flag (1/0) indicating whether a booking includes any children or babies.</w:t>
      </w:r>
    </w:p>
    <w:p>
      <w:pPr>
        <w:pStyle w:val="ListParagraph"/>
        <w:numPr>
          <w:ilvl w:val="0"/>
          <w:numId w:val="3"/>
        </w:numPr>
        <w:spacing w:after="80"/>
      </w:pPr>
      <w:r>
        <w:rPr>
          <w:color w:val="222222"/>
          <w:sz w:val="21"/>
          <w:szCs w:val="21"/>
        </w:rPr>
        <w:t xml:space="preserve">booking_status — readable label ('Cancelled' / 'Not Cancelled') derived from the numeric is_canceled flag.</w:t>
      </w:r>
    </w:p>
    <w:p>
      <w:pPr>
        <w:pStyle w:val="Heading1"/>
        <w:pBdr>
          <w:bottom w:val="single" w:color="1F3864" w:sz="6" w:space="4"/>
        </w:pBdr>
        <w:spacing w:after="160" w:before="320"/>
      </w:pPr>
      <w:r>
        <w:rPr>
          <w:b/>
          <w:bCs/>
          <w:color w:val="1F3864"/>
          <w:sz w:val="30"/>
          <w:szCs w:val="30"/>
        </w:rPr>
        <w:t xml:space="preserve">8. Post-Cleaning Validation</w:t>
      </w:r>
    </w:p>
    <w:p>
      <w:pPr>
        <w:spacing w:after="160" w:line="276"/>
        <w:jc w:val="both"/>
      </w:pPr>
      <w:r>
        <w:rPr>
          <w:color w:val="222222"/>
          <w:sz w:val="21"/>
          <w:szCs w:val="21"/>
        </w:rPr>
        <w:t xml:space="preserve">After all cleaning, type-conversion, and feature-engineering steps, the dataset was re-validated by re-running the same exploratory checks used at the start.</w:t>
      </w:r>
    </w:p>
    <w:tbl>
      <w:tblPr>
        <w:tblW w:type="auto" w:w="100"/>
        <w:tblBorders>
          <w:top w:val="single" w:color="BFBFBF" w:sz="4"/>
          <w:left w:val="single" w:color="BFBFBF" w:sz="4"/>
          <w:bottom w:val="single" w:color="BFBFBF" w:sz="4"/>
          <w:right w:val="single" w:color="BFBFBF" w:sz="4"/>
          <w:insideH w:val="single" w:color="D9D9D9" w:sz="4"/>
          <w:insideV w:val="single" w:color="D9D9D9" w:sz="4"/>
        </w:tblBorders>
      </w:tblPr>
      <w:tblGrid>
        <w:gridCol w:w="100"/>
        <w:gridCol w:w="100"/>
        <w:gridCol w:w="100"/>
      </w:tblGrid>
      <w:tr>
        <w:trPr>
          <w:tblHeader/>
        </w:trPr>
        <w:tc>
          <w:tcPr>
            <w:tcW w:type="auto" w:w="46"/>
            <w:shd w:fill="1F3864" w:color="auto" w:val="clear"/>
            <w:tcMar>
              <w:top w:type="dxa" w:w="80"/>
              <w:left w:type="dxa" w:w="120"/>
              <w:bottom w:type="dxa" w:w="80"/>
              <w:right w:type="dxa" w:w="120"/>
            </w:tcMar>
            <w:vAlign w:val="center"/>
          </w:tcPr>
          <w:p>
            <w:pPr>
              <w:jc w:val="center"/>
            </w:pPr>
            <w:r>
              <w:rPr>
                <w:b/>
                <w:bCs/>
                <w:color w:val="FFFFFF"/>
                <w:sz w:val="20"/>
                <w:szCs w:val="20"/>
              </w:rPr>
              <w:t xml:space="preserve">Metric</w:t>
            </w:r>
          </w:p>
        </w:tc>
        <w:tc>
          <w:tcPr>
            <w:tcW w:type="auto" w:w="27"/>
            <w:shd w:fill="1F3864" w:color="auto" w:val="clear"/>
            <w:tcMar>
              <w:top w:type="dxa" w:w="80"/>
              <w:left w:type="dxa" w:w="120"/>
              <w:bottom w:type="dxa" w:w="80"/>
              <w:right w:type="dxa" w:w="120"/>
            </w:tcMar>
            <w:vAlign w:val="center"/>
          </w:tcPr>
          <w:p>
            <w:pPr>
              <w:jc w:val="center"/>
            </w:pPr>
            <w:r>
              <w:rPr>
                <w:b/>
                <w:bCs/>
                <w:color w:val="FFFFFF"/>
                <w:sz w:val="20"/>
                <w:szCs w:val="20"/>
              </w:rPr>
              <w:t xml:space="preserve">Before Cleaning</w:t>
            </w:r>
          </w:p>
        </w:tc>
        <w:tc>
          <w:tcPr>
            <w:tcW w:type="auto" w:w="27"/>
            <w:shd w:fill="1F3864" w:color="auto" w:val="clear"/>
            <w:tcMar>
              <w:top w:type="dxa" w:w="80"/>
              <w:left w:type="dxa" w:w="120"/>
              <w:bottom w:type="dxa" w:w="80"/>
              <w:right w:type="dxa" w:w="120"/>
            </w:tcMar>
            <w:vAlign w:val="center"/>
          </w:tcPr>
          <w:p>
            <w:pPr>
              <w:jc w:val="center"/>
            </w:pPr>
            <w:r>
              <w:rPr>
                <w:b/>
                <w:bCs/>
                <w:color w:val="FFFFFF"/>
                <w:sz w:val="20"/>
                <w:szCs w:val="20"/>
              </w:rPr>
              <w:t xml:space="preserve">After Cleaning</w:t>
            </w:r>
          </w:p>
        </w:tc>
      </w:tr>
      <w:tr>
        <w:tc>
          <w:tcPr>
            <w:tcW w:type="auto" w:w="46"/>
            <w:tcMar>
              <w:top w:type="dxa" w:w="80"/>
              <w:left w:type="dxa" w:w="120"/>
              <w:bottom w:type="dxa" w:w="80"/>
              <w:right w:type="dxa" w:w="120"/>
            </w:tcMar>
            <w:vAlign w:val="center"/>
          </w:tcPr>
          <w:p>
            <w:pPr>
              <w:jc w:val="left"/>
            </w:pPr>
            <w:r>
              <w:rPr>
                <w:b w:val="false"/>
                <w:bCs w:val="false"/>
                <w:color w:val="222222"/>
                <w:sz w:val="20"/>
                <w:szCs w:val="20"/>
              </w:rPr>
              <w:t xml:space="preserve">Rows</w:t>
            </w:r>
          </w:p>
        </w:tc>
        <w:tc>
          <w:tcPr>
            <w:tcW w:type="auto" w:w="27"/>
            <w:tcMar>
              <w:top w:type="dxa" w:w="80"/>
              <w:left w:type="dxa" w:w="120"/>
              <w:bottom w:type="dxa" w:w="80"/>
              <w:right w:type="dxa" w:w="120"/>
            </w:tcMar>
            <w:vAlign w:val="center"/>
          </w:tcPr>
          <w:p>
            <w:pPr>
              <w:jc w:val="center"/>
            </w:pPr>
            <w:r>
              <w:rPr>
                <w:b w:val="false"/>
                <w:bCs w:val="false"/>
                <w:color w:val="222222"/>
                <w:sz w:val="20"/>
                <w:szCs w:val="20"/>
              </w:rPr>
              <w:t xml:space="preserve">119,390</w:t>
            </w:r>
          </w:p>
        </w:tc>
        <w:tc>
          <w:tcPr>
            <w:tcW w:type="auto" w:w="27"/>
            <w:tcMar>
              <w:top w:type="dxa" w:w="80"/>
              <w:left w:type="dxa" w:w="120"/>
              <w:bottom w:type="dxa" w:w="80"/>
              <w:right w:type="dxa" w:w="120"/>
            </w:tcMar>
            <w:vAlign w:val="center"/>
          </w:tcPr>
          <w:p>
            <w:pPr>
              <w:jc w:val="center"/>
            </w:pPr>
            <w:r>
              <w:rPr>
                <w:b w:val="false"/>
                <w:bCs w:val="false"/>
                <w:color w:val="222222"/>
                <w:sz w:val="20"/>
                <w:szCs w:val="20"/>
              </w:rPr>
              <w:t xml:space="preserve">87,203</w:t>
            </w:r>
          </w:p>
        </w:tc>
      </w:tr>
      <w:tr>
        <w:tc>
          <w:tcPr>
            <w:tcW w:type="auto" w:w="46"/>
            <w:shd w:fill="EAF3E8" w:color="auto" w:val="clear"/>
            <w:tcMar>
              <w:top w:type="dxa" w:w="80"/>
              <w:left w:type="dxa" w:w="120"/>
              <w:bottom w:type="dxa" w:w="80"/>
              <w:right w:type="dxa" w:w="120"/>
            </w:tcMar>
            <w:vAlign w:val="center"/>
          </w:tcPr>
          <w:p>
            <w:pPr>
              <w:jc w:val="left"/>
            </w:pPr>
            <w:r>
              <w:rPr>
                <w:b w:val="false"/>
                <w:bCs w:val="false"/>
                <w:color w:val="222222"/>
                <w:sz w:val="20"/>
                <w:szCs w:val="20"/>
              </w:rPr>
              <w:t xml:space="preserve">Columns</w:t>
            </w:r>
          </w:p>
        </w:tc>
        <w:tc>
          <w:tcPr>
            <w:tcW w:type="auto" w:w="27"/>
            <w:shd w:fill="EAF3E8" w:color="auto" w:val="clear"/>
            <w:tcMar>
              <w:top w:type="dxa" w:w="80"/>
              <w:left w:type="dxa" w:w="120"/>
              <w:bottom w:type="dxa" w:w="80"/>
              <w:right w:type="dxa" w:w="120"/>
            </w:tcMar>
            <w:vAlign w:val="center"/>
          </w:tcPr>
          <w:p>
            <w:pPr>
              <w:jc w:val="center"/>
            </w:pPr>
            <w:r>
              <w:rPr>
                <w:b w:val="false"/>
                <w:bCs w:val="false"/>
                <w:color w:val="222222"/>
                <w:sz w:val="20"/>
                <w:szCs w:val="20"/>
              </w:rPr>
              <w:t xml:space="preserve">32</w:t>
            </w:r>
          </w:p>
        </w:tc>
        <w:tc>
          <w:tcPr>
            <w:tcW w:type="auto" w:w="27"/>
            <w:shd w:fill="EAF3E8" w:color="auto" w:val="clear"/>
            <w:tcMar>
              <w:top w:type="dxa" w:w="80"/>
              <w:left w:type="dxa" w:w="120"/>
              <w:bottom w:type="dxa" w:w="80"/>
              <w:right w:type="dxa" w:w="120"/>
            </w:tcMar>
            <w:vAlign w:val="center"/>
          </w:tcPr>
          <w:p>
            <w:pPr>
              <w:jc w:val="center"/>
            </w:pPr>
            <w:r>
              <w:rPr>
                <w:b w:val="false"/>
                <w:bCs w:val="false"/>
                <w:color w:val="222222"/>
                <w:sz w:val="20"/>
                <w:szCs w:val="20"/>
              </w:rPr>
              <w:t xml:space="preserve">36</w:t>
            </w:r>
          </w:p>
        </w:tc>
      </w:tr>
      <w:tr>
        <w:tc>
          <w:tcPr>
            <w:tcW w:type="auto" w:w="46"/>
            <w:tcMar>
              <w:top w:type="dxa" w:w="80"/>
              <w:left w:type="dxa" w:w="120"/>
              <w:bottom w:type="dxa" w:w="80"/>
              <w:right w:type="dxa" w:w="120"/>
            </w:tcMar>
            <w:vAlign w:val="center"/>
          </w:tcPr>
          <w:p>
            <w:pPr>
              <w:jc w:val="left"/>
            </w:pPr>
            <w:r>
              <w:rPr>
                <w:b w:val="false"/>
                <w:bCs w:val="false"/>
                <w:color w:val="222222"/>
                <w:sz w:val="20"/>
                <w:szCs w:val="20"/>
              </w:rPr>
              <w:t xml:space="preserve">Missing values (total)</w:t>
            </w:r>
          </w:p>
        </w:tc>
        <w:tc>
          <w:tcPr>
            <w:tcW w:type="auto" w:w="27"/>
            <w:tcMar>
              <w:top w:type="dxa" w:w="80"/>
              <w:left w:type="dxa" w:w="120"/>
              <w:bottom w:type="dxa" w:w="80"/>
              <w:right w:type="dxa" w:w="120"/>
            </w:tcMar>
            <w:vAlign w:val="center"/>
          </w:tcPr>
          <w:p>
            <w:pPr>
              <w:jc w:val="center"/>
            </w:pPr>
            <w:r>
              <w:rPr>
                <w:b w:val="false"/>
                <w:bCs w:val="false"/>
                <w:color w:val="222222"/>
                <w:sz w:val="20"/>
                <w:szCs w:val="20"/>
              </w:rPr>
              <w:t xml:space="preserve">129,425</w:t>
            </w:r>
          </w:p>
        </w:tc>
        <w:tc>
          <w:tcPr>
            <w:tcW w:type="auto" w:w="27"/>
            <w:tcMar>
              <w:top w:type="dxa" w:w="80"/>
              <w:left w:type="dxa" w:w="120"/>
              <w:bottom w:type="dxa" w:w="80"/>
              <w:right w:type="dxa" w:w="120"/>
            </w:tcMar>
            <w:vAlign w:val="center"/>
          </w:tcPr>
          <w:p>
            <w:pPr>
              <w:jc w:val="center"/>
            </w:pPr>
            <w:r>
              <w:rPr>
                <w:b w:val="false"/>
                <w:bCs w:val="false"/>
                <w:color w:val="222222"/>
                <w:sz w:val="20"/>
                <w:szCs w:val="20"/>
              </w:rPr>
              <w:t xml:space="preserve">0</w:t>
            </w:r>
          </w:p>
        </w:tc>
      </w:tr>
      <w:tr>
        <w:tc>
          <w:tcPr>
            <w:tcW w:type="auto" w:w="46"/>
            <w:shd w:fill="EAF3E8" w:color="auto" w:val="clear"/>
            <w:tcMar>
              <w:top w:type="dxa" w:w="80"/>
              <w:left w:type="dxa" w:w="120"/>
              <w:bottom w:type="dxa" w:w="80"/>
              <w:right w:type="dxa" w:w="120"/>
            </w:tcMar>
            <w:vAlign w:val="center"/>
          </w:tcPr>
          <w:p>
            <w:pPr>
              <w:jc w:val="left"/>
            </w:pPr>
            <w:r>
              <w:rPr>
                <w:b w:val="false"/>
                <w:bCs w:val="false"/>
                <w:color w:val="222222"/>
                <w:sz w:val="20"/>
                <w:szCs w:val="20"/>
              </w:rPr>
              <w:t xml:space="preserve">Duplicate rows</w:t>
            </w:r>
          </w:p>
        </w:tc>
        <w:tc>
          <w:tcPr>
            <w:tcW w:type="auto" w:w="27"/>
            <w:shd w:fill="EAF3E8" w:color="auto" w:val="clear"/>
            <w:tcMar>
              <w:top w:type="dxa" w:w="80"/>
              <w:left w:type="dxa" w:w="120"/>
              <w:bottom w:type="dxa" w:w="80"/>
              <w:right w:type="dxa" w:w="120"/>
            </w:tcMar>
            <w:vAlign w:val="center"/>
          </w:tcPr>
          <w:p>
            <w:pPr>
              <w:jc w:val="center"/>
            </w:pPr>
            <w:r>
              <w:rPr>
                <w:b w:val="false"/>
                <w:bCs w:val="false"/>
                <w:color w:val="222222"/>
                <w:sz w:val="20"/>
                <w:szCs w:val="20"/>
              </w:rPr>
              <w:t xml:space="preserve">31,994</w:t>
            </w:r>
          </w:p>
        </w:tc>
        <w:tc>
          <w:tcPr>
            <w:tcW w:type="auto" w:w="27"/>
            <w:shd w:fill="EAF3E8" w:color="auto" w:val="clear"/>
            <w:tcMar>
              <w:top w:type="dxa" w:w="80"/>
              <w:left w:type="dxa" w:w="120"/>
              <w:bottom w:type="dxa" w:w="80"/>
              <w:right w:type="dxa" w:w="120"/>
            </w:tcMar>
            <w:vAlign w:val="center"/>
          </w:tcPr>
          <w:p>
            <w:pPr>
              <w:jc w:val="center"/>
            </w:pPr>
            <w:r>
              <w:rPr>
                <w:b w:val="false"/>
                <w:bCs w:val="false"/>
                <w:color w:val="222222"/>
                <w:sz w:val="20"/>
                <w:szCs w:val="20"/>
              </w:rPr>
              <w:t xml:space="preserve">0</w:t>
            </w:r>
          </w:p>
        </w:tc>
      </w:tr>
    </w:tbl>
    <w:p>
      <w:pPr>
        <w:spacing w:after="100"/>
      </w:pPr>
    </w:p>
    <w:p>
      <w:pPr>
        <w:spacing w:after="160" w:line="276"/>
        <w:jc w:val="both"/>
      </w:pPr>
      <w:r>
        <w:rPr>
          <w:color w:val="222222"/>
          <w:sz w:val="21"/>
          <w:szCs w:val="21"/>
        </w:rPr>
        <w:t xml:space="preserve">The dataset now has zero missing values across all 36 columns, contains no duplicate rows, has consistent and appropriate data types, and includes four new engineered features — ready for downstream analysis or modeling.</w:t>
      </w:r>
    </w:p>
    <w:p>
      <w:pPr>
        <w:pStyle w:val="Heading1"/>
        <w:pBdr>
          <w:bottom w:val="single" w:color="1F3864" w:sz="6" w:space="4"/>
        </w:pBdr>
        <w:spacing w:after="160" w:before="320"/>
      </w:pPr>
      <w:r>
        <w:rPr>
          <w:b/>
          <w:bCs/>
          <w:color w:val="1F3864"/>
          <w:sz w:val="30"/>
          <w:szCs w:val="30"/>
        </w:rPr>
        <w:t xml:space="preserve">9. Conclusion</w:t>
      </w:r>
    </w:p>
    <w:p>
      <w:pPr>
        <w:spacing w:after="160" w:line="276"/>
        <w:jc w:val="both"/>
      </w:pPr>
      <w:r>
        <w:rPr>
          <w:color w:val="222222"/>
          <w:sz w:val="21"/>
          <w:szCs w:val="21"/>
        </w:rPr>
        <w:t xml:space="preserve">The dataset was successfully cleaned and preprocessed through missing value handling, duplicate removal, outlier treatment, data type conversion, and feature engineering. It is now ready for exploratory analysis and predictive modeling.</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color w:val="888888"/>
        <w:sz w:val="16"/>
        <w:szCs w:val="16"/>
      </w:rPr>
      <w:t xml:space="preserve">Hotel Bookings Dataset — Cleaning &amp; Pre-Processing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b153c13cafb2fa36b7137a4bf354358d8fb7a62.png"/><Relationship Id="rId10" Type="http://schemas.openxmlformats.org/officeDocument/2006/relationships/image" Target="media/5975941210420df07fa418bd58a5174653d59e8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2026-08-01T18:10:06.382Z</dcterms:created>
  <dcterms:modified xsi:type="dcterms:W3CDTF">2026-08-01T18:10:06.395Z</dcterms:modified>
</cp:coreProperties>
</file>

<file path=docProps/custom.xml><?xml version="1.0" encoding="utf-8"?>
<Properties xmlns="http://schemas.openxmlformats.org/officeDocument/2006/custom-properties" xmlns:vt="http://schemas.openxmlformats.org/officeDocument/2006/docPropsVTypes"/>
</file>