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2A6B"/>
          <w:sz w:val="40"/>
          <w:szCs w:val="40"/>
        </w:rPr>
        <w:t xml:space="preserve">Microsoft Entra ID — Zero Trust Conditional Access Framework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Project 1 — Design Documentation &amp; Policy Register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The tenant had accumulated ad-hoc Conditional Access policies added one incident at a time, with no documented design, no emergency-access accounts, and no safe path to change a policy without risking an organization-wide lockout. This project replaced that mess with a structured, persona-based Zero Trust framework: ten policies numbered and scoped by persona, deployed safely through report-only validation and What-If testing before any enforcement, with break-glass accounts excluded from every policy and monitored independently.</w:t>
      </w:r>
    </w:p>
    <w:p>
      <w:pPr>
        <w:pStyle w:val="Heading1"/>
        <w:spacing w:after="200" w:before="400"/>
      </w:pPr>
      <w:r>
        <w:t xml:space="preserve">Persona design</w:t>
      </w:r>
    </w:p>
    <w:p>
      <w:pPr>
        <w:spacing w:after="160"/>
      </w:pPr>
      <w:r>
        <w:t xml:space="preserve">Policies were designed persona-by-persona rather than app-by-app, which is the industry-standard Conditional Access framework pattern. Each persona has a defined baseline expectation and a corresponding policy set.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800"/>
        <w:gridCol w:w="1900"/>
      </w:tblGrid>
      <w:tr>
        <w:trPr>
          <w:tblHeader/>
        </w:trPr>
        <w:tc>
          <w:tcPr>
            <w:tcW w:type="dxa" w:w="19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9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expectation</w:t>
            </w:r>
          </w:p>
        </w:tc>
        <w:tc>
          <w:tcPr>
            <w:tcW w:type="dxa" w:w="19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Policies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Global / all users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Every identity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MFA required, legacy auth blocked, high-risk countries blocked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CA001, CA002, CA004</w:t>
            </w:r>
          </w:p>
        </w:tc>
      </w:tr>
      <w:tr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Admins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Directory role holders</w:t>
            </w:r>
          </w:p>
        </w:tc>
        <w:tc>
          <w:tcPr>
            <w:tcW w:type="dxa" w:w="38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Phishing-resistant MFA, no unmanaged platforms, session limits, PIM activation bound to auth context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CA101, CA102, CA150, CA501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Internals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Compliant or hybrid-joined device required for sensitive apps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CA201</w:t>
            </w:r>
          </w:p>
        </w:tc>
      </w:tr>
      <w:tr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Externals / guests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B2B identities</w:t>
            </w:r>
          </w:p>
        </w:tc>
        <w:tc>
          <w:tcPr>
            <w:tcW w:type="dxa" w:w="38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MFA required, restricted app scope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CA301</w:t>
            </w:r>
          </w:p>
        </w:tc>
      </w:tr>
      <w:tr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Service accounts / workload identities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Non-human identities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Location-locked, excluded from user MFA policies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Not yet implemented — known gap</w:t>
            </w:r>
          </w:p>
        </w:tc>
      </w:tr>
      <w:tr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 emergency accounts</w:t>
            </w:r>
          </w:p>
        </w:tc>
        <w:tc>
          <w:tcPr>
            <w:tcW w:type="dxa" w:w="38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Excluded from all CA policies, monitored on every sign-in</w:t>
            </w:r>
          </w:p>
        </w:tc>
        <w:tc>
          <w:tcPr>
            <w:tcW w:type="dxa" w:w="1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Excluded from all 10 policies below</w:t>
            </w:r>
          </w:p>
        </w:tc>
      </w:tr>
    </w:tbl>
    <w:p>
      <w:pPr>
        <w:pStyle w:val="Heading1"/>
        <w:spacing w:after="200" w:before="400"/>
      </w:pPr>
      <w:r>
        <w:t xml:space="preserve">Policy numbering scheme</w:t>
      </w:r>
    </w:p>
    <w:p>
      <w:pPr>
        <w:spacing w:after="160"/>
      </w:pPr>
      <w:r>
        <w:t xml:space="preserve">Policies are numbered by range so the full set stays readable as it grows: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CA000–099 — Global baseline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CA100–199 — Admin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CA200–299 — Internal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CA300–399 — Guest / external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CA400–499 — Workload identities (not yet built)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CA500–599 — Session controls</w:t>
      </w:r>
    </w:p>
    <w:p>
      <w:pPr>
        <w:pStyle w:val="Heading1"/>
        <w:spacing w:after="200" w:before="400"/>
      </w:pPr>
      <w:r>
        <w:t xml:space="preserve">Policy register</w:t>
      </w:r>
    </w:p>
    <w:p>
      <w:pPr>
        <w:spacing w:after="160"/>
      </w:pPr>
      <w:r>
        <w:t xml:space="preserve">Every policy below is currently deployed in Report-only mode, pending ringed enablement. Each entry documents its purpose, scope, exclusions, and the blast radius of a misconfiguration — the questions an auditor or on-call engineer would need answered first.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000"/>
        <w:gridCol w:w="1400"/>
        <w:gridCol w:w="2700"/>
      </w:tblGrid>
      <w:tr>
        <w:trPr>
          <w:tblHeader/>
        </w:trPr>
        <w:tc>
          <w:tcPr>
            <w:tcW w:type="dxa" w:w="9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14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2700"/>
            <w:shd w:fill="2E2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Blast radius if misconfigured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CA001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Block legacy authentication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Legacy-auth apps/scripts lose access entirely; can lock out service accounts still using basic auth</w:t>
            </w:r>
          </w:p>
        </w:tc>
      </w:tr>
      <w:tr>
        <w:tc>
          <w:tcPr>
            <w:tcW w:type="dxa" w:w="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CA002</w:t>
            </w:r>
          </w:p>
        </w:tc>
        <w:tc>
          <w:tcPr>
            <w:tcW w:type="dxa" w:w="25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Require MFA for all users, all apps</w:t>
            </w:r>
          </w:p>
        </w:tc>
        <w:tc>
          <w:tcPr>
            <w:tcW w:type="dxa" w:w="20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If enforced without MFA registration complete, locks out unregistered users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CA004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Block sign-in from high-risk countries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Can block legitimate travel/VPN sign-ins; named-location accuracy is critical</w:t>
            </w:r>
          </w:p>
        </w:tc>
      </w:tr>
      <w:tr>
        <w:tc>
          <w:tcPr>
            <w:tcW w:type="dxa" w:w="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CA101</w:t>
            </w:r>
          </w:p>
        </w:tc>
        <w:tc>
          <w:tcPr>
            <w:tcW w:type="dxa" w:w="25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Admins require phishing-resistant MFA</w:t>
            </w:r>
          </w:p>
        </w:tc>
        <w:tc>
          <w:tcPr>
            <w:tcW w:type="dxa" w:w="20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Directory role holders</w:t>
            </w:r>
          </w:p>
        </w:tc>
        <w:tc>
          <w:tcPr>
            <w:tcW w:type="dxa" w:w="14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Admins without phishing-resistant methods enrolled are locked out of admin roles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CA102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Admins blocked from unmanaged platforms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Directory role holders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Blocks legitimate admin access from personal/unenrolled devices</w:t>
            </w:r>
          </w:p>
        </w:tc>
      </w:tr>
      <w:tr>
        <w:tc>
          <w:tcPr>
            <w:tcW w:type="dxa" w:w="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CA150</w:t>
            </w:r>
          </w:p>
        </w:tc>
        <w:tc>
          <w:tcPr>
            <w:tcW w:type="dxa" w:w="25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Privileged role activation requires phishing-resistant MFA</w:t>
            </w:r>
          </w:p>
        </w:tc>
        <w:tc>
          <w:tcPr>
            <w:tcW w:type="dxa" w:w="20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PIM-eligible admins, via auth context</w:t>
            </w:r>
          </w:p>
        </w:tc>
        <w:tc>
          <w:tcPr>
            <w:tcW w:type="dxa" w:w="14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Misconfigured auth context can make role activation impossible for everyone, including break-glass if excluded incorrectly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CA201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Require compliant device for sensitive apps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Internal employees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Enforced with zero compliant devices registered blocks all internal access</w:t>
            </w:r>
          </w:p>
        </w:tc>
      </w:tr>
      <w:tr>
        <w:tc>
          <w:tcPr>
            <w:tcW w:type="dxa" w:w="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CA301</w:t>
            </w:r>
          </w:p>
        </w:tc>
        <w:tc>
          <w:tcPr>
            <w:tcW w:type="dxa" w:w="25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Guests require MFA</w:t>
            </w:r>
          </w:p>
        </w:tc>
        <w:tc>
          <w:tcPr>
            <w:tcW w:type="dxa" w:w="20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External / B2B identities</w:t>
            </w:r>
          </w:p>
        </w:tc>
        <w:tc>
          <w:tcPr>
            <w:tcW w:type="dxa" w:w="14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Blocks legitimate guest collaboration if MFA registration isn't guided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CA501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Admin session limits (sign-in frequency, no persistent browser)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Directory role holders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Overly aggressive frequency forces excessive re-auth, hurting admin productivity</w:t>
            </w:r>
          </w:p>
        </w:tc>
      </w:tr>
      <w:tr>
        <w:tc>
          <w:tcPr>
            <w:tcW w:type="dxa" w:w="9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CA502</w:t>
            </w:r>
          </w:p>
        </w:tc>
        <w:tc>
          <w:tcPr>
            <w:tcW w:type="dxa" w:w="25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App-enforced restrictions (Office 365)</w:t>
            </w:r>
          </w:p>
        </w:tc>
        <w:tc>
          <w:tcPr>
            <w:tcW w:type="dxa" w:w="20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All users, unmanaged devices</w:t>
            </w:r>
          </w:p>
        </w:tc>
        <w:tc>
          <w:tcPr>
            <w:tcW w:type="dxa" w:w="14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Break-glass</w:t>
            </w:r>
          </w:p>
        </w:tc>
        <w:tc>
          <w:tcPr>
            <w:tcW w:type="dxa" w:w="2700"/>
            <w:shd w:fill="F2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Misconfigured session controls can block legitimate unmanaged-device access to Office apps</w:t>
            </w:r>
          </w:p>
        </w:tc>
      </w:tr>
    </w:tbl>
    <w:p>
      <w:pPr>
        <w:pStyle w:val="Heading1"/>
        <w:spacing w:after="200" w:before="400"/>
      </w:pPr>
      <w:r>
        <w:t xml:space="preserve">Safe rollout methodology</w:t>
      </w:r>
    </w:p>
    <w:p>
      <w:pPr>
        <w:pStyle w:val="Heading2"/>
        <w:spacing w:after="150" w:before="300"/>
      </w:pPr>
      <w:r>
        <w:t xml:space="preserve">1. Break-glass first, always</w:t>
      </w:r>
    </w:p>
    <w:p>
      <w:pPr>
        <w:spacing w:after="160"/>
      </w:pPr>
      <w:r>
        <w:t xml:space="preserve">Two cloud-only emergency accounts were created with long complex passphrases and excluded from every Conditional Access policy before any policy work began. An alert fires on any break-glass sign-in. Building policies before break-glass exists is the classic career-ending mistake this step avoids.</w:t>
      </w:r>
    </w:p>
    <w:p>
      <w:pPr>
        <w:pStyle w:val="Heading2"/>
        <w:spacing w:after="150" w:before="300"/>
      </w:pPr>
      <w:r>
        <w:t xml:space="preserve">2. Report-only mode</w:t>
      </w:r>
    </w:p>
    <w:p>
      <w:pPr>
        <w:spacing w:after="160"/>
      </w:pPr>
      <w:r>
        <w:t xml:space="preserve">Every policy launches in Report-only. Sign-in logs and the per-policy impact view show who would have been blocked before enforcement, without actually blocking anyone.</w:t>
      </w:r>
    </w:p>
    <w:p>
      <w:pPr>
        <w:pStyle w:val="Heading2"/>
        <w:spacing w:after="150" w:before="300"/>
      </w:pPr>
      <w:r>
        <w:t xml:space="preserve">3. Ringed enablement</w:t>
      </w:r>
    </w:p>
    <w:p>
      <w:pPr>
        <w:spacing w:after="160"/>
      </w:pPr>
      <w:r>
        <w:t xml:space="preserve">Policies move from report-only to enforced for a pilot group first, then all users, following a documented ring plan rather than a single organization-wide flip.</w:t>
      </w:r>
    </w:p>
    <w:p>
      <w:pPr>
        <w:pStyle w:val="Heading2"/>
        <w:spacing w:after="150" w:before="300"/>
      </w:pPr>
      <w:r>
        <w:t xml:space="preserve">4. What-If validation</w:t>
      </w:r>
    </w:p>
    <w:p>
      <w:pPr>
        <w:spacing w:after="160"/>
      </w:pPr>
      <w:r>
        <w:t xml:space="preserve">The Conditional Access What-If tool is used to test each persona against the policy set both before and after enablement, confirming the design behaves as intended for admins, standard users, and guests alike.</w:t>
      </w:r>
    </w:p>
    <w:p>
      <w:pPr>
        <w:pStyle w:val="Heading1"/>
        <w:spacing w:after="200" w:before="400"/>
      </w:pPr>
      <w:r>
        <w:t xml:space="preserve">Known gaps and next steps</w:t>
      </w:r>
    </w:p>
    <w:p>
      <w:pPr>
        <w:spacing w:after="160"/>
      </w:pPr>
      <w:r>
        <w:t xml:space="preserve">Service account / workload identity policies (the CA400 range) were not built in this phase. This is a deliberate scoping decision rather than an oversight: non-human identities need their own containment model — IP or location lock and no interactive sign-in — which was out of scope for the initial rollout. This is the next priority for a future iteration of the framework.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2026-08-11T02:39:26.494Z</dcterms:created>
  <dcterms:modified xsi:type="dcterms:W3CDTF">2026-08-11T02:39:26.509Z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