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5B2CF0"/>
          <w:spacing w:val="60"/>
          <w:sz w:val="28"/>
          <w:szCs w:val="28"/>
        </w:rPr>
        <w:t xml:space="preserve">SENSO</w:t>
      </w:r>
    </w:p>
    <w:p>
      <w:pPr>
        <w:spacing w:after="200"/>
      </w:pPr>
      <w:r>
        <w:rPr>
          <w:rFonts w:ascii="Calibri" w:cs="Calibri" w:eastAsia="Calibri" w:hAnsi="Calibri"/>
          <w:b/>
          <w:bCs/>
          <w:color w:val="1A0A2E"/>
          <w:sz w:val="56"/>
          <w:szCs w:val="56"/>
        </w:rPr>
        <w:t xml:space="preserve">Influencer Intelligence Platform</w:t>
      </w:r>
    </w:p>
    <w:p>
      <w:pPr>
        <w:spacing w:after="120"/>
      </w:pPr>
      <w:r>
        <w:rPr>
          <w:rFonts w:ascii="Calibri" w:cs="Calibri" w:eastAsia="Calibri" w:hAnsi="Calibri"/>
          <w:color w:val="4B4458"/>
          <w:sz w:val="32"/>
          <w:szCs w:val="32"/>
        </w:rPr>
        <w:t xml:space="preserve">Features, data, metrics and rationale</w:t>
      </w:r>
    </w:p>
    <w:p>
      <w:pPr>
        <w:spacing w:after="60" w:before="600"/>
      </w:pPr>
      <w:r>
        <w:rPr>
          <w:rFonts w:ascii="Calibri" w:cs="Calibri" w:eastAsia="Calibri" w:hAnsi="Calibri"/>
          <w:color w:val="8A8399"/>
          <w:sz w:val="20"/>
          <w:szCs w:val="20"/>
        </w:rPr>
        <w:t xml:space="preserve">Release v2026.09.21 · production at senso360.com</w:t>
      </w:r>
    </w:p>
    <w:p>
      <w:pPr>
        <w:spacing w:after="60"/>
      </w:pPr>
      <w:r>
        <w:rPr>
          <w:rFonts w:ascii="Calibri" w:cs="Calibri" w:eastAsia="Calibri" w:hAnsi="Calibri"/>
          <w:color w:val="8A8399"/>
          <w:sz w:val="20"/>
          <w:szCs w:val="20"/>
        </w:rPr>
        <w:t xml:space="preserve">Prepared 21 September 2026</w:t>
      </w:r>
    </w:p>
    <w:p>
      <w:r>
        <w:br w:type="page"/>
      </w:r>
    </w:p>
    <w:p>
      <w:pPr>
        <w:pStyle w:val="Heading1"/>
        <w:spacing w:after="160" w:before="360"/>
      </w:pPr>
      <w:r>
        <w:rPr>
          <w:rFonts w:ascii="Calibri" w:cs="Calibri" w:eastAsia="Calibri" w:hAnsi="Calibri"/>
          <w:b/>
          <w:bCs/>
          <w:color w:val="1A0A2E"/>
          <w:sz w:val="36"/>
          <w:szCs w:val="36"/>
        </w:rPr>
        <w:t xml:space="preserve">Contents</w:t>
      </w:r>
    </w:p>
    <w:p>
      <w:pPr>
        <w:spacing w:after="60"/>
      </w:pPr>
      <w:r>
        <w:rPr>
          <w:rFonts w:ascii="Calibri" w:cs="Calibri" w:eastAsia="Calibri" w:hAnsi="Calibri"/>
          <w:color w:val="4B4458"/>
          <w:sz w:val="22"/>
          <w:szCs w:val="22"/>
        </w:rPr>
        <w:t xml:space="preserve">1. What SENSO is</w:t>
      </w:r>
    </w:p>
    <w:p>
      <w:pPr>
        <w:spacing w:after="60"/>
      </w:pPr>
      <w:r>
        <w:rPr>
          <w:rFonts w:ascii="Calibri" w:cs="Calibri" w:eastAsia="Calibri" w:hAnsi="Calibri"/>
          <w:color w:val="4B4458"/>
          <w:sz w:val="22"/>
          <w:szCs w:val="22"/>
        </w:rPr>
        <w:t xml:space="preserve">2. Architecture and stack</w:t>
      </w:r>
    </w:p>
    <w:p>
      <w:pPr>
        <w:spacing w:after="60"/>
      </w:pPr>
      <w:r>
        <w:rPr>
          <w:rFonts w:ascii="Calibri" w:cs="Calibri" w:eastAsia="Calibri" w:hAnsi="Calibri"/>
          <w:color w:val="4B4458"/>
          <w:sz w:val="22"/>
          <w:szCs w:val="22"/>
        </w:rPr>
        <w:t xml:space="preserve">3. Features, by area</w:t>
      </w:r>
    </w:p>
    <w:p>
      <w:pPr>
        <w:spacing w:after="60"/>
      </w:pPr>
      <w:r>
        <w:rPr>
          <w:rFonts w:ascii="Calibri" w:cs="Calibri" w:eastAsia="Calibri" w:hAnsi="Calibri"/>
          <w:color w:val="4B4458"/>
          <w:sz w:val="22"/>
          <w:szCs w:val="22"/>
        </w:rPr>
        <w:t xml:space="preserve">4. The social media data SENSO collects</w:t>
      </w:r>
    </w:p>
    <w:p>
      <w:pPr>
        <w:spacing w:after="60"/>
      </w:pPr>
      <w:r>
        <w:rPr>
          <w:rFonts w:ascii="Calibri" w:cs="Calibri" w:eastAsia="Calibri" w:hAnsi="Calibri"/>
          <w:color w:val="4B4458"/>
          <w:sz w:val="22"/>
          <w:szCs w:val="22"/>
        </w:rPr>
        <w:t xml:space="preserve">5. Metrics and parameters</w:t>
      </w:r>
    </w:p>
    <w:p>
      <w:pPr>
        <w:spacing w:after="60"/>
      </w:pPr>
      <w:r>
        <w:rPr>
          <w:rFonts w:ascii="Calibri" w:cs="Calibri" w:eastAsia="Calibri" w:hAnsi="Calibri"/>
          <w:color w:val="4B4458"/>
          <w:sz w:val="22"/>
          <w:szCs w:val="22"/>
        </w:rPr>
        <w:t xml:space="preserve">6. SENSO Health — the score and its components</w:t>
      </w:r>
    </w:p>
    <w:p>
      <w:pPr>
        <w:spacing w:after="60"/>
      </w:pPr>
      <w:r>
        <w:rPr>
          <w:rFonts w:ascii="Calibri" w:cs="Calibri" w:eastAsia="Calibri" w:hAnsi="Calibri"/>
          <w:color w:val="4B4458"/>
          <w:sz w:val="22"/>
          <w:szCs w:val="22"/>
        </w:rPr>
        <w:t xml:space="preserve">7. Risk — bot risk, audience quality and brand safety</w:t>
      </w:r>
    </w:p>
    <w:p>
      <w:pPr>
        <w:spacing w:after="60"/>
      </w:pPr>
      <w:r>
        <w:rPr>
          <w:rFonts w:ascii="Calibri" w:cs="Calibri" w:eastAsia="Calibri" w:hAnsi="Calibri"/>
          <w:color w:val="4B4458"/>
          <w:sz w:val="22"/>
          <w:szCs w:val="22"/>
        </w:rPr>
        <w:t xml:space="preserve">8. Data confidence</w:t>
      </w:r>
    </w:p>
    <w:p>
      <w:pPr>
        <w:spacing w:after="60"/>
      </w:pPr>
      <w:r>
        <w:rPr>
          <w:rFonts w:ascii="Calibri" w:cs="Calibri" w:eastAsia="Calibri" w:hAnsi="Calibri"/>
          <w:color w:val="4B4458"/>
          <w:sz w:val="22"/>
          <w:szCs w:val="22"/>
        </w:rPr>
        <w:t xml:space="preserve">9. Campaign fit and campaign performance</w:t>
      </w:r>
    </w:p>
    <w:p>
      <w:pPr>
        <w:spacing w:after="60"/>
      </w:pPr>
      <w:r>
        <w:rPr>
          <w:rFonts w:ascii="Calibri" w:cs="Calibri" w:eastAsia="Calibri" w:hAnsi="Calibri"/>
          <w:color w:val="4B4458"/>
          <w:sz w:val="22"/>
          <w:szCs w:val="22"/>
        </w:rPr>
        <w:t xml:space="preserve">10. Benchmarks, similar creators and AI classification</w:t>
      </w:r>
    </w:p>
    <w:p>
      <w:pPr>
        <w:spacing w:after="60"/>
      </w:pPr>
      <w:r>
        <w:rPr>
          <w:rFonts w:ascii="Calibri" w:cs="Calibri" w:eastAsia="Calibri" w:hAnsi="Calibri"/>
          <w:color w:val="4B4458"/>
          <w:sz w:val="22"/>
          <w:szCs w:val="22"/>
        </w:rPr>
        <w:t xml:space="preserve">11. Discovery — filters, sorts and what a result shows</w:t>
      </w:r>
    </w:p>
    <w:p>
      <w:pPr>
        <w:spacing w:after="60"/>
      </w:pPr>
      <w:r>
        <w:rPr>
          <w:rFonts w:ascii="Calibri" w:cs="Calibri" w:eastAsia="Calibri" w:hAnsi="Calibri"/>
          <w:color w:val="4B4458"/>
          <w:sz w:val="22"/>
          <w:szCs w:val="22"/>
        </w:rPr>
        <w:t xml:space="preserve">12. Operations and production readiness</w:t>
      </w:r>
    </w:p>
    <w:p>
      <w:pPr>
        <w:spacing w:after="60"/>
      </w:pPr>
      <w:r>
        <w:rPr>
          <w:rFonts w:ascii="Calibri" w:cs="Calibri" w:eastAsia="Calibri" w:hAnsi="Calibri"/>
          <w:color w:val="4B4458"/>
          <w:sz w:val="22"/>
          <w:szCs w:val="22"/>
        </w:rPr>
        <w:t xml:space="preserve">13. What the data does and does not hold</w:t>
      </w:r>
    </w:p>
    <w:p>
      <w:pPr>
        <w:spacing w:after="60"/>
      </w:pPr>
      <w:r>
        <w:rPr>
          <w:rFonts w:ascii="Calibri" w:cs="Calibri" w:eastAsia="Calibri" w:hAnsi="Calibri"/>
          <w:color w:val="4B4458"/>
          <w:sz w:val="22"/>
          <w:szCs w:val="22"/>
        </w:rPr>
        <w:t xml:space="preserve">14. Deliberately deferred</w:t>
      </w:r>
    </w:p>
    <w:p>
      <w:pPr>
        <w:spacing w:after="60"/>
      </w:pPr>
      <w:r>
        <w:rPr>
          <w:rFonts w:ascii="Calibri" w:cs="Calibri" w:eastAsia="Calibri" w:hAnsi="Calibri"/>
          <w:color w:val="4B4458"/>
          <w:sz w:val="22"/>
          <w:szCs w:val="22"/>
        </w:rPr>
        <w:t xml:space="preserve">15. Open items at hand-over</w:t>
      </w:r>
    </w:p>
    <w:p>
      <w:r>
        <w:br w:type="page"/>
      </w:r>
    </w:p>
    <w:p>
      <w:pPr>
        <w:pStyle w:val="Heading1"/>
        <w:spacing w:after="160" w:before="360"/>
      </w:pPr>
      <w:r>
        <w:rPr>
          <w:rFonts w:ascii="Calibri" w:cs="Calibri" w:eastAsia="Calibri" w:hAnsi="Calibri"/>
          <w:b/>
          <w:bCs/>
          <w:color w:val="1A0A2E"/>
          <w:sz w:val="36"/>
          <w:szCs w:val="36"/>
        </w:rPr>
        <w:t xml:space="preserve">1. What SENSO is</w:t>
      </w:r>
    </w:p>
    <w:p>
      <w:pPr>
        <w:spacing w:after="120" w:line="300"/>
      </w:pPr>
      <w:r>
        <w:rPr>
          <w:rFonts w:ascii="Calibri" w:cs="Calibri" w:eastAsia="Calibri" w:hAnsi="Calibri"/>
          <w:color w:val="1A0A2E"/>
          <w:sz w:val="22"/>
          <w:szCs w:val="22"/>
        </w:rPr>
        <w:t xml:space="preserve">SENSO maintains a proprietary, continuously refreshed database of creators and turns it into decision support for marketing teams. It answers two questions: should we work with this creator, and how did this creator perform for our campaign.</w:t>
      </w:r>
    </w:p>
    <w:p>
      <w:pPr>
        <w:spacing w:after="120" w:line="300"/>
      </w:pPr>
      <w:r>
        <w:rPr>
          <w:rFonts w:ascii="Calibri" w:cs="Calibri" w:eastAsia="Calibri" w:hAnsi="Calibri"/>
          <w:color w:val="1A0A2E"/>
          <w:sz w:val="22"/>
          <w:szCs w:val="22"/>
        </w:rPr>
        <w:t xml:space="preserve">Every number on the platform can be traced to where it came from. That is the product's differentiator against directories and follower-count tools, and most of the decisions in this document exist to protect it.</w:t>
      </w:r>
    </w:p>
    <w:p>
      <w:pPr>
        <w:pStyle w:val="Heading3"/>
        <w:spacing w:after="80" w:before="200"/>
      </w:pPr>
      <w:r>
        <w:rPr>
          <w:rFonts w:ascii="Calibri" w:cs="Calibri" w:eastAsia="Calibri" w:hAnsi="Calibri"/>
          <w:b/>
          <w:bCs/>
          <w:color w:val="5B2CF0"/>
          <w:sz w:val="24"/>
          <w:szCs w:val="24"/>
        </w:rPr>
        <w:t xml:space="preserve">The pipeline</w:t>
      </w:r>
    </w:p>
    <w:p>
      <w:pPr>
        <w:spacing w:after="120" w:line="300"/>
      </w:pPr>
      <w:r>
        <w:rPr>
          <w:rFonts w:ascii="Calibri" w:cs="Calibri" w:eastAsia="Calibri" w:hAnsi="Calibri"/>
          <w:color w:val="1A0A2E"/>
          <w:sz w:val="22"/>
          <w:szCs w:val="22"/>
        </w:rPr>
        <w:t xml:space="preserve">Official platform APIs and permitted research → normalised database → daily historical snapshots → deterministic analytics → AI enrichment (explanation and classification only) → explainable SENSO Health scoring → search → role dashboards → a versioned public API.</w:t>
      </w:r>
    </w:p>
    <w:p>
      <w:pPr>
        <w:pStyle w:val="Heading3"/>
        <w:spacing w:after="80" w:before="200"/>
      </w:pPr>
      <w:r>
        <w:rPr>
          <w:rFonts w:ascii="Calibri" w:cs="Calibri" w:eastAsia="Calibri" w:hAnsi="Calibri"/>
          <w:b/>
          <w:bCs/>
          <w:color w:val="5B2CF0"/>
          <w:sz w:val="24"/>
          <w:szCs w:val="24"/>
        </w:rPr>
        <w:t xml:space="preserve">Non-negotiable product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Rule</w:t>
            </w:r>
          </w:p>
        </w:tc>
        <w:tc>
          <w:tcPr>
            <w:tcW w:type="dxa" w:w="57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Consequence in the product</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Scores are computed by formulas, never by a model</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SENSO Health, risk, confidence and campaign scores are deterministic and reproducible; a model may explain a score but cannot change it</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Every fact carries its source, collection time and confidence</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Five provenance labels (verified, observed, derived, estimated, AI inferred) are enforced in the data model and shown everywhere</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Absent is never zero</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 figure that was not measured is shown as absent; a component that cannot be measured is withheld and the remaining weights renormalise</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Verified means OAuth-verified</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No creator is marked verified from public data; today no creator is verified, and the product says so</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Confidence is separate from quality</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 creator can score 91 on health at 40% confidence; the two are never folded together</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Access control is enforced on the server</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Every route checks permissions; hiding UI is never the control</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Free plan: five searches a month, enforced server-side</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Charged only on a narrowing search, never on paging or sorting</w:t>
            </w:r>
          </w:p>
        </w:tc>
      </w:tr>
    </w:tbl>
    <w:p>
      <w:pPr>
        <w:spacing w:after="120"/>
      </w:pPr>
    </w:p>
    <w:p>
      <w:pPr>
        <w:pStyle w:val="Heading1"/>
        <w:spacing w:after="160" w:before="360"/>
      </w:pPr>
      <w:r>
        <w:rPr>
          <w:rFonts w:ascii="Calibri" w:cs="Calibri" w:eastAsia="Calibri" w:hAnsi="Calibri"/>
          <w:b/>
          <w:bCs/>
          <w:color w:val="1A0A2E"/>
          <w:sz w:val="36"/>
          <w:szCs w:val="36"/>
        </w:rPr>
        <w:t xml:space="preserve">2. Architecture and stack</w:t>
      </w:r>
    </w:p>
    <w:p>
      <w:pPr>
        <w:spacing w:after="120" w:line="300"/>
      </w:pPr>
      <w:r>
        <w:rPr>
          <w:rFonts w:ascii="Calibri" w:cs="Calibri" w:eastAsia="Calibri" w:hAnsi="Calibri"/>
          <w:color w:val="1A0A2E"/>
          <w:sz w:val="22"/>
          <w:szCs w:val="22"/>
        </w:rPr>
        <w:t xml:space="preserve">Next.js 16 (App Router, React 19, TypeScript strict), Tailwind v4 with a tokenised theme, Zod at every boundary, PostgreSQL 16, Vitest and Playwright. One Hostinger VPS runs production and staging under PM2 behind nginx.</w:t>
      </w:r>
    </w:p>
    <w:p>
      <w:pPr>
        <w:pStyle w:val="Heading3"/>
        <w:spacing w:after="80" w:before="200"/>
      </w:pPr>
      <w:r>
        <w:rPr>
          <w:rFonts w:ascii="Calibri" w:cs="Calibri" w:eastAsia="Calibri" w:hAnsi="Calibri"/>
          <w:b/>
          <w:bCs/>
          <w:color w:val="5B2CF0"/>
          <w:sz w:val="24"/>
          <w:szCs w:val="24"/>
        </w:rPr>
        <w:t xml:space="preserve">One deployable, one process</w:t>
      </w:r>
    </w:p>
    <w:p>
      <w:pPr>
        <w:spacing w:after="120" w:line="300"/>
      </w:pPr>
      <w:r>
        <w:rPr>
          <w:rFonts w:ascii="Calibri" w:cs="Calibri" w:eastAsia="Calibri" w:hAnsi="Calibri"/>
          <w:color w:val="1A0A2E"/>
          <w:sz w:val="22"/>
          <w:szCs w:val="22"/>
        </w:rPr>
        <w:t xml:space="preserve">The application, the public API and the daily jobs are one Next.js server sharing one service layer, plus the same code as a scheduler inside the process.</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The blueprint drew a separate API gateway and worker fleet. A single app serving /api/v1 over a shared service layer satisfies 'React and external clients use the same backend' with far less infrastructure. The process refuses to start as a second cluster worker, because the read model lives in memory; Redis is the precondition for scaling out and is not needed yet.</w:t>
      </w:r>
    </w:p>
    <w:p>
      <w:pPr>
        <w:pStyle w:val="Heading3"/>
        <w:spacing w:after="80" w:before="200"/>
      </w:pPr>
      <w:r>
        <w:rPr>
          <w:rFonts w:ascii="Calibri" w:cs="Calibri" w:eastAsia="Calibri" w:hAnsi="Calibri"/>
          <w:b/>
          <w:bCs/>
          <w:color w:val="5B2CF0"/>
          <w:sz w:val="24"/>
          <w:szCs w:val="24"/>
        </w:rPr>
        <w:t xml:space="preserve">Postgres as the durable copy, memory as the read model</w:t>
      </w:r>
    </w:p>
    <w:p>
      <w:pPr>
        <w:spacing w:after="120" w:line="300"/>
      </w:pPr>
      <w:r>
        <w:rPr>
          <w:rFonts w:ascii="Calibri" w:cs="Calibri" w:eastAsia="Calibri" w:hAnsi="Calibri"/>
          <w:color w:val="1A0A2E"/>
          <w:sz w:val="22"/>
          <w:szCs w:val="22"/>
        </w:rPr>
        <w:t xml:space="preserve">Every write goes through to PostgreSQL in order; every read is a synchronous function over rows already loaded at boot. Scoring the whole database runs as a background pass in slices; a request reads whatever pass finished last.</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Every read path was written against in-memory rows before a database existed, and the promise was that the database would slot in without touching a component. Measured on the VPS: about 110 MB of memory per thousand creators; the heap was raised to 4 GB (ceiling ≈ 35k creators) and a Slack warning fires at 3 GB or 25k creators — the trigger for moving reads to SQL, not before.</w:t>
      </w:r>
    </w:p>
    <w:p>
      <w:pPr>
        <w:pStyle w:val="Heading3"/>
        <w:spacing w:after="80" w:before="200"/>
      </w:pPr>
      <w:r>
        <w:rPr>
          <w:rFonts w:ascii="Calibri" w:cs="Calibri" w:eastAsia="Calibri" w:hAnsi="Calibri"/>
          <w:b/>
          <w:bCs/>
          <w:color w:val="5B2CF0"/>
          <w:sz w:val="24"/>
          <w:szCs w:val="24"/>
        </w:rPr>
        <w:t xml:space="preserve">Real data, no generator</w:t>
      </w:r>
    </w:p>
    <w:p>
      <w:pPr>
        <w:spacing w:after="120" w:line="300"/>
      </w:pPr>
      <w:r>
        <w:rPr>
          <w:rFonts w:ascii="Calibri" w:cs="Calibri" w:eastAsia="Calibri" w:hAnsi="Calibri"/>
          <w:color w:val="1A0A2E"/>
          <w:sz w:val="22"/>
          <w:szCs w:val="22"/>
        </w:rPr>
        <w:t xml:space="preserve">The creator database holds only what the connectors actually wrote — 8,678 creators at the time of writing (7,472 YouTube, 1,206 Instagram), 425k content items, 33k daily snapshots. A fresh clone starts empty and every screen renders an honest empty state.</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A seeded generator produces confident numbers for creators who do not exist. Whole regions of the interface are empty for real creators because a public API cannot reach demographics or audience quality — and the product was built to show that rather than fill it in.</w:t>
      </w:r>
    </w:p>
    <w:p>
      <w:r>
        <w:br w:type="page"/>
      </w:r>
    </w:p>
    <w:p>
      <w:pPr>
        <w:pStyle w:val="Heading1"/>
        <w:spacing w:after="160" w:before="360"/>
      </w:pPr>
      <w:r>
        <w:rPr>
          <w:rFonts w:ascii="Calibri" w:cs="Calibri" w:eastAsia="Calibri" w:hAnsi="Calibri"/>
          <w:b/>
          <w:bCs/>
          <w:color w:val="1A0A2E"/>
          <w:sz w:val="36"/>
          <w:szCs w:val="36"/>
        </w:rPr>
        <w:t xml:space="preserve">3. Features, by area</w:t>
      </w:r>
    </w:p>
    <w:p>
      <w:pPr>
        <w:pStyle w:val="Heading2"/>
        <w:spacing w:after="120" w:before="280"/>
      </w:pPr>
      <w:r>
        <w:rPr>
          <w:rFonts w:ascii="Calibri" w:cs="Calibri" w:eastAsia="Calibri" w:hAnsi="Calibri"/>
          <w:b/>
          <w:bCs/>
          <w:color w:val="1A0A2E"/>
          <w:sz w:val="28"/>
          <w:szCs w:val="28"/>
        </w:rPr>
        <w:t xml:space="preserve">3.1 Intelligence core</w:t>
      </w:r>
    </w:p>
    <w:p>
      <w:pPr>
        <w:pStyle w:val="ListParagraph"/>
        <w:numPr>
          <w:ilvl w:val="0"/>
          <w:numId w:val="2"/>
        </w:numPr>
        <w:spacing w:after="60" w:line="280"/>
      </w:pPr>
      <w:r>
        <w:rPr>
          <w:rFonts w:ascii="Calibri" w:cs="Calibri" w:eastAsia="Calibri" w:hAnsi="Calibri"/>
          <w:b/>
          <w:bCs/>
          <w:color w:val="1A0A2E"/>
          <w:sz w:val="22"/>
          <w:szCs w:val="22"/>
        </w:rPr>
        <w:t xml:space="preserve">Deterministic analytics engine: </w:t>
      </w:r>
      <w:r>
        <w:rPr>
          <w:rFonts w:ascii="Calibri" w:cs="Calibri" w:eastAsia="Calibri" w:hAnsi="Calibri"/>
          <w:color w:val="1A0A2E"/>
          <w:sz w:val="22"/>
          <w:szCs w:val="22"/>
        </w:rPr>
        <w:t xml:space="preserve">median, mean and dispersion, engagement rate with per-platform denominators, upload cadence and consistency, view consistency, anomaly detection, growth-pattern scoring, dormancy, windowed gains.</w:t>
      </w:r>
    </w:p>
    <w:p>
      <w:pPr>
        <w:pStyle w:val="ListParagraph"/>
        <w:numPr>
          <w:ilvl w:val="0"/>
          <w:numId w:val="2"/>
        </w:numPr>
        <w:spacing w:after="60" w:line="280"/>
      </w:pPr>
      <w:r>
        <w:rPr>
          <w:rFonts w:ascii="Calibri" w:cs="Calibri" w:eastAsia="Calibri" w:hAnsi="Calibri"/>
          <w:b/>
          <w:bCs/>
          <w:color w:val="1A0A2E"/>
          <w:sz w:val="22"/>
          <w:szCs w:val="22"/>
        </w:rPr>
        <w:t xml:space="preserve">SENSO Health: </w:t>
      </w:r>
      <w:r>
        <w:rPr>
          <w:rFonts w:ascii="Calibri" w:cs="Calibri" w:eastAsia="Calibri" w:hAnsi="Calibri"/>
          <w:color w:val="1A0A2E"/>
          <w:sz w:val="22"/>
          <w:szCs w:val="22"/>
        </w:rPr>
        <w:t xml:space="preserve">nine weighted components (authenticity .20, engagement quality .15, engagement rate .15, growth .15, view consistency .10, audience activity .10, comment quality .05, upload consistency .05, brand safety .05). Every score stores its components, inputs, formula version and computation time.</w:t>
      </w:r>
    </w:p>
    <w:p>
      <w:pPr>
        <w:pStyle w:val="ListParagraph"/>
        <w:numPr>
          <w:ilvl w:val="0"/>
          <w:numId w:val="2"/>
        </w:numPr>
        <w:spacing w:after="60" w:line="280"/>
      </w:pPr>
      <w:r>
        <w:rPr>
          <w:rFonts w:ascii="Calibri" w:cs="Calibri" w:eastAsia="Calibri" w:hAnsi="Calibri"/>
          <w:b/>
          <w:bCs/>
          <w:color w:val="1A0A2E"/>
          <w:sz w:val="22"/>
          <w:szCs w:val="22"/>
        </w:rPr>
        <w:t xml:space="preserve">Risk with a dominant-signal floor: </w:t>
      </w:r>
      <w:r>
        <w:rPr>
          <w:rFonts w:ascii="Calibri" w:cs="Calibri" w:eastAsia="Calibri" w:hAnsi="Calibri"/>
          <w:color w:val="1A0A2E"/>
          <w:sz w:val="22"/>
          <w:szCs w:val="22"/>
        </w:rPr>
        <w:t xml:space="preserve">one severe signal sets a floor the composite cannot average away.</w:t>
      </w:r>
    </w:p>
    <w:p>
      <w:pPr>
        <w:pStyle w:val="ListParagraph"/>
        <w:numPr>
          <w:ilvl w:val="0"/>
          <w:numId w:val="2"/>
        </w:numPr>
        <w:spacing w:after="60" w:line="280"/>
      </w:pPr>
      <w:r>
        <w:rPr>
          <w:rFonts w:ascii="Calibri" w:cs="Calibri" w:eastAsia="Calibri" w:hAnsi="Calibri"/>
          <w:b/>
          <w:bCs/>
          <w:color w:val="1A0A2E"/>
          <w:sz w:val="22"/>
          <w:szCs w:val="22"/>
        </w:rPr>
        <w:t xml:space="preserve">Data confidence as a separate axis: </w:t>
      </w:r>
      <w:r>
        <w:rPr>
          <w:rFonts w:ascii="Calibri" w:cs="Calibri" w:eastAsia="Calibri" w:hAnsi="Calibri"/>
          <w:color w:val="1A0A2E"/>
          <w:sz w:val="22"/>
          <w:szCs w:val="22"/>
        </w:rPr>
        <w:t xml:space="preserve">completeness, historical depth, source authority, observation count, minus staleness and conflicts.</w:t>
      </w:r>
    </w:p>
    <w:p>
      <w:pPr>
        <w:pStyle w:val="ListParagraph"/>
        <w:numPr>
          <w:ilvl w:val="0"/>
          <w:numId w:val="2"/>
        </w:numPr>
        <w:spacing w:after="60" w:line="280"/>
      </w:pPr>
      <w:r>
        <w:rPr>
          <w:rFonts w:ascii="Calibri" w:cs="Calibri" w:eastAsia="Calibri" w:hAnsi="Calibri"/>
          <w:b/>
          <w:bCs/>
          <w:color w:val="1A0A2E"/>
          <w:sz w:val="22"/>
          <w:szCs w:val="22"/>
        </w:rPr>
        <w:t xml:space="preserve">Campaign fit </w:t>
      </w:r>
      <w:r>
        <w:rPr>
          <w:rFonts w:ascii="Calibri" w:cs="Calibri" w:eastAsia="Calibri" w:hAnsi="Calibri"/>
          <w:color w:val="1A0A2E"/>
          <w:sz w:val="22"/>
          <w:szCs w:val="22"/>
        </w:rPr>
        <w:t xml:space="preserve">as a ranking model with unmeasurable inputs excluded rather than scored zero.</w:t>
      </w:r>
    </w:p>
    <w:p>
      <w:pPr>
        <w:pStyle w:val="ListParagraph"/>
        <w:numPr>
          <w:ilvl w:val="0"/>
          <w:numId w:val="2"/>
        </w:numPr>
        <w:spacing w:after="60" w:line="280"/>
      </w:pPr>
      <w:r>
        <w:rPr>
          <w:rFonts w:ascii="Calibri" w:cs="Calibri" w:eastAsia="Calibri" w:hAnsi="Calibri"/>
          <w:b/>
          <w:bCs/>
          <w:color w:val="1A0A2E"/>
          <w:sz w:val="22"/>
          <w:szCs w:val="22"/>
        </w:rPr>
        <w:t xml:space="preserve">Cohort benchmarks </w:t>
      </w:r>
      <w:r>
        <w:rPr>
          <w:rFonts w:ascii="Calibri" w:cs="Calibri" w:eastAsia="Calibri" w:hAnsi="Calibri"/>
          <w:color w:val="1A0A2E"/>
          <w:sz w:val="22"/>
          <w:szCs w:val="22"/>
        </w:rPr>
        <w:t xml:space="preserve">(category × audience band) published only when the cohort has at least eight creators.</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An 85/100 bot-risk signal once read as 'medium' after averaging with three clean signals — that is the failure the floor prevents. A percentile against two accounts is noise wearing the costume of a statistic, and it would be the most quotable number on the page; cohorts below eight publish no rank.</w:t>
      </w:r>
    </w:p>
    <w:p>
      <w:pPr>
        <w:pStyle w:val="Heading2"/>
        <w:spacing w:after="120" w:before="280"/>
      </w:pPr>
      <w:r>
        <w:rPr>
          <w:rFonts w:ascii="Calibri" w:cs="Calibri" w:eastAsia="Calibri" w:hAnsi="Calibri"/>
          <w:b/>
          <w:bCs/>
          <w:color w:val="1A0A2E"/>
          <w:sz w:val="28"/>
          <w:szCs w:val="28"/>
        </w:rPr>
        <w:t xml:space="preserve">3.2 Provenance</w:t>
      </w:r>
    </w:p>
    <w:p>
      <w:pPr>
        <w:pStyle w:val="ListParagraph"/>
        <w:numPr>
          <w:ilvl w:val="0"/>
          <w:numId w:val="2"/>
        </w:numPr>
        <w:spacing w:after="60" w:line="280"/>
      </w:pPr>
      <w:r>
        <w:rPr>
          <w:rFonts w:ascii="Calibri" w:cs="Calibri" w:eastAsia="Calibri" w:hAnsi="Calibri"/>
          <w:color w:val="1A0A2E"/>
          <w:sz w:val="22"/>
          <w:szCs w:val="22"/>
        </w:rPr>
        <w:t xml:space="preserve">Five source tiers, highest wins: official platform API → OAuth-authorised account → licensed provider → permitted public research → AI inference.</w:t>
      </w:r>
    </w:p>
    <w:p>
      <w:pPr>
        <w:pStyle w:val="ListParagraph"/>
        <w:numPr>
          <w:ilvl w:val="0"/>
          <w:numId w:val="2"/>
        </w:numPr>
        <w:spacing w:after="60" w:line="280"/>
      </w:pPr>
      <w:r>
        <w:rPr>
          <w:rFonts w:ascii="Calibri" w:cs="Calibri" w:eastAsia="Calibri" w:hAnsi="Calibri"/>
          <w:color w:val="1A0A2E"/>
          <w:sz w:val="22"/>
          <w:szCs w:val="22"/>
        </w:rPr>
        <w:t xml:space="preserve">Five fact kinds rendered distinctly everywhere, with freshness on every figure and a provenance mix readout on each profile.</w:t>
      </w:r>
    </w:p>
    <w:p>
      <w:pPr>
        <w:pStyle w:val="ListParagraph"/>
        <w:numPr>
          <w:ilvl w:val="0"/>
          <w:numId w:val="2"/>
        </w:numPr>
        <w:spacing w:after="60" w:line="280"/>
      </w:pPr>
      <w:r>
        <w:rPr>
          <w:rFonts w:ascii="Calibri" w:cs="Calibri" w:eastAsia="Calibri" w:hAnsi="Calibri"/>
          <w:color w:val="1A0A2E"/>
          <w:sz w:val="22"/>
          <w:szCs w:val="22"/>
        </w:rPr>
        <w:t xml:space="preserve">Click-through provenance: clicking a figure opens a panel naming the method, source tier, collection time, derivation formula, model and prompt version where AI was involved, and the field confidence.</w:t>
      </w:r>
    </w:p>
    <w:p>
      <w:pPr>
        <w:pStyle w:val="ListParagraph"/>
        <w:numPr>
          <w:ilvl w:val="0"/>
          <w:numId w:val="2"/>
        </w:numPr>
        <w:spacing w:after="60" w:line="280"/>
      </w:pPr>
      <w:r>
        <w:rPr>
          <w:rFonts w:ascii="Calibri" w:cs="Calibri" w:eastAsia="Calibri" w:hAnsi="Calibri"/>
          <w:color w:val="1A0A2E"/>
          <w:sz w:val="22"/>
          <w:szCs w:val="22"/>
        </w:rPr>
        <w:t xml:space="preserve">'Building history' as formal behaviour: a trend is drawn only once there are enough daily snapshots; otherwise the profile shows the count collected so far.</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A tooltip cannot be reached on touch, cannot be read at leisure and cannot hold a source link — which is where the product's strongest differentiator had been living. A trend line drawn from one snapshot is a manufactured observation.</w:t>
      </w:r>
    </w:p>
    <w:p>
      <w:pPr>
        <w:pStyle w:val="Heading2"/>
        <w:spacing w:after="120" w:before="280"/>
      </w:pPr>
      <w:r>
        <w:rPr>
          <w:rFonts w:ascii="Calibri" w:cs="Calibri" w:eastAsia="Calibri" w:hAnsi="Calibri"/>
          <w:b/>
          <w:bCs/>
          <w:color w:val="1A0A2E"/>
          <w:sz w:val="28"/>
          <w:szCs w:val="28"/>
        </w:rPr>
        <w:t xml:space="preserve">3.3 Data and connectors</w:t>
      </w:r>
    </w:p>
    <w:p>
      <w:pPr>
        <w:pStyle w:val="ListParagraph"/>
        <w:numPr>
          <w:ilvl w:val="0"/>
          <w:numId w:val="2"/>
        </w:numPr>
        <w:spacing w:after="60" w:line="280"/>
      </w:pPr>
      <w:r>
        <w:rPr>
          <w:rFonts w:ascii="Calibri" w:cs="Calibri" w:eastAsia="Calibri" w:hAnsi="Calibri"/>
          <w:b/>
          <w:bCs/>
          <w:color w:val="1A0A2E"/>
          <w:sz w:val="22"/>
          <w:szCs w:val="22"/>
        </w:rPr>
        <w:t xml:space="preserve">YouTube, live: </w:t>
      </w:r>
      <w:r>
        <w:rPr>
          <w:rFonts w:ascii="Calibri" w:cs="Calibri" w:eastAsia="Calibri" w:hAnsi="Calibri"/>
          <w:color w:val="1A0A2E"/>
          <w:sz w:val="22"/>
          <w:szCs w:val="22"/>
        </w:rPr>
        <w:t xml:space="preserve">channel resolution by id, handle or URL, statistics, recent uploads with per-video figures, YouTube's own topic categories, comment reads for comment-quality classification.</w:t>
      </w:r>
    </w:p>
    <w:p>
      <w:pPr>
        <w:pStyle w:val="ListParagraph"/>
        <w:numPr>
          <w:ilvl w:val="0"/>
          <w:numId w:val="2"/>
        </w:numPr>
        <w:spacing w:after="60" w:line="280"/>
      </w:pPr>
      <w:r>
        <w:rPr>
          <w:rFonts w:ascii="Calibri" w:cs="Calibri" w:eastAsia="Calibri" w:hAnsi="Calibri"/>
          <w:b/>
          <w:bCs/>
          <w:color w:val="1A0A2E"/>
          <w:sz w:val="22"/>
          <w:szCs w:val="22"/>
        </w:rPr>
        <w:t xml:space="preserve">Instagram, live: </w:t>
      </w:r>
      <w:r>
        <w:rPr>
          <w:rFonts w:ascii="Calibri" w:cs="Calibri" w:eastAsia="Calibri" w:hAnsi="Calibri"/>
          <w:color w:val="1A0A2E"/>
          <w:sz w:val="22"/>
          <w:szCs w:val="22"/>
        </w:rPr>
        <w:t xml:space="preserve">read through Business Discovery as SENSO's own professional account — followers, media count, bio, posts with likes and comments; no views, country, language or history, recorded as absent, never zero.</w:t>
      </w:r>
    </w:p>
    <w:p>
      <w:pPr>
        <w:pStyle w:val="ListParagraph"/>
        <w:numPr>
          <w:ilvl w:val="0"/>
          <w:numId w:val="2"/>
        </w:numPr>
        <w:spacing w:after="60" w:line="280"/>
      </w:pPr>
      <w:r>
        <w:rPr>
          <w:rFonts w:ascii="Calibri" w:cs="Calibri" w:eastAsia="Calibri" w:hAnsi="Calibri"/>
          <w:b/>
          <w:bCs/>
          <w:color w:val="1A0A2E"/>
          <w:sz w:val="22"/>
          <w:szCs w:val="22"/>
        </w:rPr>
        <w:t xml:space="preserve">X adapter </w:t>
      </w:r>
      <w:r>
        <w:rPr>
          <w:rFonts w:ascii="Calibri" w:cs="Calibri" w:eastAsia="Calibri" w:hAnsi="Calibri"/>
          <w:color w:val="1A0A2E"/>
          <w:sz w:val="22"/>
          <w:szCs w:val="22"/>
        </w:rPr>
        <w:t xml:space="preserve">with honest status reporting; TikTok deferred.</w:t>
      </w:r>
    </w:p>
    <w:p>
      <w:pPr>
        <w:pStyle w:val="ListParagraph"/>
        <w:numPr>
          <w:ilvl w:val="0"/>
          <w:numId w:val="2"/>
        </w:numPr>
        <w:spacing w:after="60" w:line="280"/>
      </w:pPr>
      <w:r>
        <w:rPr>
          <w:rFonts w:ascii="Calibri" w:cs="Calibri" w:eastAsia="Calibri" w:hAnsi="Calibri"/>
          <w:b/>
          <w:bCs/>
          <w:color w:val="1A0A2E"/>
          <w:sz w:val="22"/>
          <w:szCs w:val="22"/>
        </w:rPr>
        <w:t xml:space="preserve">Two daily jobs on one in-process clock: </w:t>
      </w:r>
      <w:r>
        <w:rPr>
          <w:rFonts w:ascii="Calibri" w:cs="Calibri" w:eastAsia="Calibri" w:hAnsi="Calibri"/>
          <w:color w:val="1A0A2E"/>
          <w:sz w:val="22"/>
          <w:szCs w:val="22"/>
        </w:rPr>
        <w:t xml:space="preserve">snapshot (re-read every account not read today) and discovery (the next slice of a fixed rotation of category and place queries). Each records the day it ran so a timer and a cron cannot double-spend.</w:t>
      </w:r>
    </w:p>
    <w:p>
      <w:pPr>
        <w:pStyle w:val="ListParagraph"/>
        <w:numPr>
          <w:ilvl w:val="0"/>
          <w:numId w:val="2"/>
        </w:numPr>
        <w:spacing w:after="60" w:line="280"/>
      </w:pPr>
      <w:r>
        <w:rPr>
          <w:rFonts w:ascii="Calibri" w:cs="Calibri" w:eastAsia="Calibri" w:hAnsi="Calibri"/>
          <w:b/>
          <w:bCs/>
          <w:color w:val="1A0A2E"/>
          <w:sz w:val="22"/>
          <w:szCs w:val="22"/>
        </w:rPr>
        <w:t xml:space="preserve">Discovery budgeted: </w:t>
      </w:r>
      <w:r>
        <w:rPr>
          <w:rFonts w:ascii="Calibri" w:cs="Calibri" w:eastAsia="Calibri" w:hAnsi="Calibri"/>
          <w:color w:val="1A0A2E"/>
          <w:sz w:val="22"/>
          <w:szCs w:val="22"/>
        </w:rPr>
        <w:t xml:space="preserve">search is the only expensive YouTube call (100 units), so it finds channel ids only; everything else is read through cheap batched endpoints.</w:t>
      </w:r>
    </w:p>
    <w:p>
      <w:pPr>
        <w:pStyle w:val="ListParagraph"/>
        <w:numPr>
          <w:ilvl w:val="0"/>
          <w:numId w:val="2"/>
        </w:numPr>
        <w:spacing w:after="60" w:line="280"/>
      </w:pPr>
      <w:r>
        <w:rPr>
          <w:rFonts w:ascii="Calibri" w:cs="Calibri" w:eastAsia="Calibri" w:hAnsi="Calibri"/>
          <w:b/>
          <w:bCs/>
          <w:color w:val="1A0A2E"/>
          <w:sz w:val="22"/>
          <w:szCs w:val="22"/>
        </w:rPr>
        <w:t xml:space="preserve">City as a mention, not a field: </w:t>
      </w:r>
      <w:r>
        <w:rPr>
          <w:rFonts w:ascii="Calibri" w:cs="Calibri" w:eastAsia="Calibri" w:hAnsi="Calibri"/>
          <w:color w:val="1A0A2E"/>
          <w:sz w:val="22"/>
          <w:szCs w:val="22"/>
        </w:rPr>
        <w:t xml:space="preserve">no public API exposes a location finer than country, so place mentions are derived from a creator's own text and shown as 'Mentions', never as a location.</w:t>
      </w:r>
    </w:p>
    <w:p>
      <w:pPr>
        <w:pStyle w:val="ListParagraph"/>
        <w:numPr>
          <w:ilvl w:val="0"/>
          <w:numId w:val="2"/>
        </w:numPr>
        <w:spacing w:after="60" w:line="280"/>
      </w:pPr>
      <w:r>
        <w:rPr>
          <w:rFonts w:ascii="Calibri" w:cs="Calibri" w:eastAsia="Calibri" w:hAnsi="Calibri"/>
          <w:b/>
          <w:bCs/>
          <w:color w:val="1A0A2E"/>
          <w:sz w:val="22"/>
          <w:szCs w:val="22"/>
        </w:rPr>
        <w:t xml:space="preserve">Display-name hygiene: </w:t>
      </w:r>
      <w:r>
        <w:rPr>
          <w:rFonts w:ascii="Calibri" w:cs="Calibri" w:eastAsia="Calibri" w:hAnsi="Calibri"/>
          <w:color w:val="1A0A2E"/>
          <w:sz w:val="22"/>
          <w:szCs w:val="22"/>
        </w:rPr>
        <w:t xml:space="preserve">trailing, doubled and zero-width whitespace stripped at ingestion (335 live names carried a trailing space and sorted after every real name).</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Topics YouTube publishes are observed, not inferred — a wrong category puts a creator in the wrong cohort and corrupts the benchmark medians of everyone genuinely in it. Discovery is capped per day so the snapshot pass and operators always have quota left.</w:t>
      </w:r>
    </w:p>
    <w:p>
      <w:pPr>
        <w:pStyle w:val="Heading2"/>
        <w:spacing w:after="120" w:before="280"/>
      </w:pPr>
      <w:r>
        <w:rPr>
          <w:rFonts w:ascii="Calibri" w:cs="Calibri" w:eastAsia="Calibri" w:hAnsi="Calibri"/>
          <w:b/>
          <w:bCs/>
          <w:color w:val="1A0A2E"/>
          <w:sz w:val="28"/>
          <w:szCs w:val="28"/>
        </w:rPr>
        <w:t xml:space="preserve">3.4 AI layer</w:t>
      </w:r>
    </w:p>
    <w:p>
      <w:pPr>
        <w:pStyle w:val="ListParagraph"/>
        <w:numPr>
          <w:ilvl w:val="0"/>
          <w:numId w:val="2"/>
        </w:numPr>
        <w:spacing w:after="60" w:line="280"/>
      </w:pPr>
      <w:r>
        <w:rPr>
          <w:rFonts w:ascii="Calibri" w:cs="Calibri" w:eastAsia="Calibri" w:hAnsi="Calibri"/>
          <w:color w:val="1A0A2E"/>
          <w:sz w:val="22"/>
          <w:szCs w:val="22"/>
        </w:rPr>
        <w:t xml:space="preserve">OpenAI structured output in strict JSON-schema mode, re-validated on reply: creator type, content themes, commercial intent, brand safety and comment quality (judged from comments actually read from the platform), inferred categories where the platform publishes none.</w:t>
      </w:r>
    </w:p>
    <w:p>
      <w:pPr>
        <w:pStyle w:val="ListParagraph"/>
        <w:numPr>
          <w:ilvl w:val="0"/>
          <w:numId w:val="2"/>
        </w:numPr>
        <w:spacing w:after="60" w:line="280"/>
      </w:pPr>
      <w:r>
        <w:rPr>
          <w:rFonts w:ascii="Calibri" w:cs="Calibri" w:eastAsia="Calibri" w:hAnsi="Calibri"/>
          <w:color w:val="1A0A2E"/>
          <w:sz w:val="22"/>
          <w:szCs w:val="22"/>
        </w:rPr>
        <w:t xml:space="preserve">Every output stores provider, model, prompt version, schema version, generation time and its evidence.</w:t>
      </w:r>
    </w:p>
    <w:p>
      <w:pPr>
        <w:pStyle w:val="ListParagraph"/>
        <w:numPr>
          <w:ilvl w:val="0"/>
          <w:numId w:val="2"/>
        </w:numPr>
        <w:spacing w:after="60" w:line="280"/>
      </w:pPr>
      <w:r>
        <w:rPr>
          <w:rFonts w:ascii="Calibri" w:cs="Calibri" w:eastAsia="Calibri" w:hAnsi="Calibri"/>
          <w:color w:val="1A0A2E"/>
          <w:sz w:val="22"/>
          <w:szCs w:val="22"/>
        </w:rPr>
        <w:t xml:space="preserve">A model may never produce follower counts, engagement rates, view counts, demographics, bot percentages or any historical metric — enforced by there being no such field in the schema, and asserted by a test.</w:t>
      </w:r>
    </w:p>
    <w:p>
      <w:pPr>
        <w:pStyle w:val="ListParagraph"/>
        <w:numPr>
          <w:ilvl w:val="0"/>
          <w:numId w:val="2"/>
        </w:numPr>
        <w:spacing w:after="60" w:line="280"/>
      </w:pPr>
      <w:r>
        <w:rPr>
          <w:rFonts w:ascii="Calibri" w:cs="Calibri" w:eastAsia="Calibri" w:hAnsi="Calibri"/>
          <w:color w:val="1A0A2E"/>
          <w:sz w:val="22"/>
          <w:szCs w:val="22"/>
        </w:rPr>
        <w:t xml:space="preserve">Enrichment never runs on a page render; it is an explicit operator action in batches, skipping creators already classified.</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A prompt can be talked around; a schema cannot. Malformed or truncated output is rejected rather than stored — a half-parsed response written to the database is a fabricated fact carrying a version stamp. Inferred categories are stored apart from observed ones because YouTube's topics put 458 of the first 627 creators in 'lifestyle' and never emit beauty, finance or parenting at all.</w:t>
      </w:r>
    </w:p>
    <w:p>
      <w:pPr>
        <w:pStyle w:val="Heading2"/>
        <w:spacing w:after="120" w:before="280"/>
      </w:pPr>
      <w:r>
        <w:rPr>
          <w:rFonts w:ascii="Calibri" w:cs="Calibri" w:eastAsia="Calibri" w:hAnsi="Calibri"/>
          <w:b/>
          <w:bCs/>
          <w:color w:val="1A0A2E"/>
          <w:sz w:val="28"/>
          <w:szCs w:val="28"/>
        </w:rPr>
        <w:t xml:space="preserve">3.5 Discovery and search</w:t>
      </w:r>
    </w:p>
    <w:p>
      <w:pPr>
        <w:pStyle w:val="ListParagraph"/>
        <w:numPr>
          <w:ilvl w:val="0"/>
          <w:numId w:val="2"/>
        </w:numPr>
        <w:spacing w:after="60" w:line="280"/>
      </w:pPr>
      <w:r>
        <w:rPr>
          <w:rFonts w:ascii="Calibri" w:cs="Calibri" w:eastAsia="Calibri" w:hAnsi="Calibri"/>
          <w:color w:val="1A0A2E"/>
          <w:sz w:val="22"/>
          <w:szCs w:val="22"/>
        </w:rPr>
        <w:t xml:space="preserve">URL-as-state search with twelve filter groups, live facet counts, sorting, pagination and active-filter chips; results as cards by default with quick-sort pills, a table one toggle away, and a filters popover (a sheet on a phone).</w:t>
      </w:r>
    </w:p>
    <w:p>
      <w:pPr>
        <w:pStyle w:val="ListParagraph"/>
        <w:numPr>
          <w:ilvl w:val="0"/>
          <w:numId w:val="2"/>
        </w:numPr>
        <w:spacing w:after="60" w:line="280"/>
      </w:pPr>
      <w:r>
        <w:rPr>
          <w:rFonts w:ascii="Calibri" w:cs="Calibri" w:eastAsia="Calibri" w:hAnsi="Calibri"/>
          <w:color w:val="1A0A2E"/>
          <w:sz w:val="22"/>
          <w:szCs w:val="22"/>
        </w:rPr>
        <w:t xml:space="preserve">Free-plan allowance of five searches a month, metered on the server, spent only by a narrowing search and shown before it is spent.</w:t>
      </w:r>
    </w:p>
    <w:p>
      <w:pPr>
        <w:pStyle w:val="ListParagraph"/>
        <w:numPr>
          <w:ilvl w:val="0"/>
          <w:numId w:val="2"/>
        </w:numPr>
        <w:spacing w:after="60" w:line="280"/>
      </w:pPr>
      <w:r>
        <w:rPr>
          <w:rFonts w:ascii="Calibri" w:cs="Calibri" w:eastAsia="Calibri" w:hAnsi="Calibri"/>
          <w:color w:val="1A0A2E"/>
          <w:sz w:val="22"/>
          <w:szCs w:val="22"/>
        </w:rPr>
        <w:t xml:space="preserve">Command palette (⌘K or /) searching creators and jumping to pages, anchored under the search control.</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Every facet carries a live count so a person knows what a filter costs before applying it. The allowance is stated before the person commits, not after they are blocked.</w:t>
      </w:r>
    </w:p>
    <w:p>
      <w:pPr>
        <w:pStyle w:val="Heading2"/>
        <w:spacing w:after="120" w:before="280"/>
      </w:pPr>
      <w:r>
        <w:rPr>
          <w:rFonts w:ascii="Calibri" w:cs="Calibri" w:eastAsia="Calibri" w:hAnsi="Calibri"/>
          <w:b/>
          <w:bCs/>
          <w:color w:val="1A0A2E"/>
          <w:sz w:val="28"/>
          <w:szCs w:val="28"/>
        </w:rPr>
        <w:t xml:space="preserve">3.6 Profiles, comparison, shortlists, campaigns</w:t>
      </w:r>
    </w:p>
    <w:p>
      <w:pPr>
        <w:pStyle w:val="ListParagraph"/>
        <w:numPr>
          <w:ilvl w:val="0"/>
          <w:numId w:val="2"/>
        </w:numPr>
        <w:spacing w:after="60" w:line="280"/>
      </w:pPr>
      <w:r>
        <w:rPr>
          <w:rFonts w:ascii="Calibri" w:cs="Calibri" w:eastAsia="Calibri" w:hAnsi="Calibri"/>
          <w:b/>
          <w:bCs/>
          <w:color w:val="1A0A2E"/>
          <w:sz w:val="22"/>
          <w:szCs w:val="22"/>
        </w:rPr>
        <w:t xml:space="preserve">Creator profile: </w:t>
      </w:r>
      <w:r>
        <w:rPr>
          <w:rFonts w:ascii="Calibri" w:cs="Calibri" w:eastAsia="Calibri" w:hAnsi="Calibri"/>
          <w:color w:val="1A0A2E"/>
          <w:sz w:val="22"/>
          <w:szCs w:val="22"/>
        </w:rPr>
        <w:t xml:space="preserve">the dashboard's composition — score card, component chart with a components/uploads toggle, similar creators, follower history or the building-history state, data confidence with source mix, then tabs for depth. Audience demographics are withheld from clients until a creator authorises access, and the page says why.</w:t>
      </w:r>
    </w:p>
    <w:p>
      <w:pPr>
        <w:pStyle w:val="ListParagraph"/>
        <w:numPr>
          <w:ilvl w:val="0"/>
          <w:numId w:val="2"/>
        </w:numPr>
        <w:spacing w:after="60" w:line="280"/>
      </w:pPr>
      <w:r>
        <w:rPr>
          <w:rFonts w:ascii="Calibri" w:cs="Calibri" w:eastAsia="Calibri" w:hAnsi="Calibri"/>
          <w:b/>
          <w:bCs/>
          <w:color w:val="1A0A2E"/>
          <w:sz w:val="22"/>
          <w:szCs w:val="22"/>
        </w:rPr>
        <w:t xml:space="preserve">Comparison: </w:t>
      </w:r>
      <w:r>
        <w:rPr>
          <w:rFonts w:ascii="Calibri" w:cs="Calibri" w:eastAsia="Calibri" w:hAnsi="Calibri"/>
          <w:color w:val="1A0A2E"/>
          <w:sz w:val="22"/>
          <w:szCs w:val="22"/>
        </w:rPr>
        <w:t xml:space="preserve">up to five creators, best-in-row marking, incomparable metrics flagged rather than silently averaged.</w:t>
      </w:r>
    </w:p>
    <w:p>
      <w:pPr>
        <w:pStyle w:val="ListParagraph"/>
        <w:numPr>
          <w:ilvl w:val="0"/>
          <w:numId w:val="2"/>
        </w:numPr>
        <w:spacing w:after="60" w:line="280"/>
      </w:pPr>
      <w:r>
        <w:rPr>
          <w:rFonts w:ascii="Calibri" w:cs="Calibri" w:eastAsia="Calibri" w:hAnsi="Calibri"/>
          <w:b/>
          <w:bCs/>
          <w:color w:val="1A0A2E"/>
          <w:sz w:val="22"/>
          <w:szCs w:val="22"/>
        </w:rPr>
        <w:t xml:space="preserve">Shortlists: </w:t>
      </w:r>
      <w:r>
        <w:rPr>
          <w:rFonts w:ascii="Calibri" w:cs="Calibri" w:eastAsia="Calibri" w:hAnsi="Calibri"/>
          <w:color w:val="1A0A2E"/>
          <w:sz w:val="22"/>
          <w:szCs w:val="22"/>
        </w:rPr>
        <w:t xml:space="preserve">create, add, annotate, remove, compare from the list, hand off to a campaign.</w:t>
      </w:r>
    </w:p>
    <w:p>
      <w:pPr>
        <w:pStyle w:val="ListParagraph"/>
        <w:numPr>
          <w:ilvl w:val="0"/>
          <w:numId w:val="2"/>
        </w:numPr>
        <w:spacing w:after="60" w:line="280"/>
      </w:pPr>
      <w:r>
        <w:rPr>
          <w:rFonts w:ascii="Calibri" w:cs="Calibri" w:eastAsia="Calibri" w:hAnsi="Calibri"/>
          <w:b/>
          <w:bCs/>
          <w:color w:val="1A0A2E"/>
          <w:sz w:val="22"/>
          <w:szCs w:val="22"/>
        </w:rPr>
        <w:t xml:space="preserve">Campaigns: </w:t>
      </w:r>
      <w:r>
        <w:rPr>
          <w:rFonts w:ascii="Calibri" w:cs="Calibri" w:eastAsia="Calibri" w:hAnsi="Calibri"/>
          <w:color w:val="1A0A2E"/>
          <w:sz w:val="22"/>
          <w:szCs w:val="22"/>
        </w:rPr>
        <w:t xml:space="preserve">created with a required unique tracking hashtag; participants with talent, client and agreed rates; hashtag-attributed performance scored on its own axis with its own formula version, never merged with SENSO Health.</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'How did they do for us?' and 'who are they?' are different questions with different evidence; merging them would let one campaign move a creator's standing for every other client.</w:t>
      </w:r>
    </w:p>
    <w:p>
      <w:pPr>
        <w:pStyle w:val="Heading2"/>
        <w:spacing w:after="120" w:before="280"/>
      </w:pPr>
      <w:r>
        <w:rPr>
          <w:rFonts w:ascii="Calibri" w:cs="Calibri" w:eastAsia="Calibri" w:hAnsi="Calibri"/>
          <w:b/>
          <w:bCs/>
          <w:color w:val="1A0A2E"/>
          <w:sz w:val="28"/>
          <w:szCs w:val="28"/>
        </w:rPr>
        <w:t xml:space="preserve">3.7 Reports and exports</w:t>
      </w:r>
    </w:p>
    <w:p>
      <w:pPr>
        <w:pStyle w:val="ListParagraph"/>
        <w:numPr>
          <w:ilvl w:val="0"/>
          <w:numId w:val="2"/>
        </w:numPr>
        <w:spacing w:after="60" w:line="280"/>
      </w:pPr>
      <w:r>
        <w:rPr>
          <w:rFonts w:ascii="Calibri" w:cs="Calibri" w:eastAsia="Calibri" w:hAnsi="Calibri"/>
          <w:color w:val="1A0A2E"/>
          <w:sz w:val="22"/>
          <w:szCs w:val="22"/>
        </w:rPr>
        <w:t xml:space="preserve">CSV export for a creator profile, a shortlist and a campaign — exactly the rows the screen shows, with formula versions attached.</w:t>
      </w:r>
    </w:p>
    <w:p>
      <w:pPr>
        <w:pStyle w:val="ListParagraph"/>
        <w:numPr>
          <w:ilvl w:val="0"/>
          <w:numId w:val="2"/>
        </w:numPr>
        <w:spacing w:after="60" w:line="280"/>
      </w:pPr>
      <w:r>
        <w:rPr>
          <w:rFonts w:ascii="Calibri" w:cs="Calibri" w:eastAsia="Calibri" w:hAnsi="Calibri"/>
          <w:color w:val="1A0A2E"/>
          <w:sz w:val="22"/>
          <w:szCs w:val="22"/>
        </w:rPr>
        <w:t xml:space="preserve">'Save as PDF' on the same three screens: the browser's print dialog over a print stylesheet that drops the chrome and prints the record with its provenance labels intact.</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A number that leaves the platform without its context is a number someone will eventually misquote. Print-to-PDF gives the same page a person was looking at, with no rendering service, headless browser or queue to run.</w:t>
      </w:r>
    </w:p>
    <w:p>
      <w:pPr>
        <w:pStyle w:val="Heading2"/>
        <w:spacing w:after="120" w:before="280"/>
      </w:pPr>
      <w:r>
        <w:rPr>
          <w:rFonts w:ascii="Calibri" w:cs="Calibri" w:eastAsia="Calibri" w:hAnsi="Calibri"/>
          <w:b/>
          <w:bCs/>
          <w:color w:val="1A0A2E"/>
          <w:sz w:val="28"/>
          <w:szCs w:val="28"/>
        </w:rPr>
        <w:t xml:space="preserve">3.8 Notifications and digests</w:t>
      </w:r>
    </w:p>
    <w:p>
      <w:pPr>
        <w:pStyle w:val="ListParagraph"/>
        <w:numPr>
          <w:ilvl w:val="0"/>
          <w:numId w:val="2"/>
        </w:numPr>
        <w:spacing w:after="60" w:line="280"/>
      </w:pPr>
      <w:r>
        <w:rPr>
          <w:rFonts w:ascii="Calibri" w:cs="Calibri" w:eastAsia="Calibri" w:hAnsi="Calibri"/>
          <w:color w:val="1A0A2E"/>
          <w:sz w:val="22"/>
          <w:szCs w:val="22"/>
        </w:rPr>
        <w:t xml:space="preserve">Alerts derived from real detections on the creators an organisation tracks — dormancy, high risk, preliminary confidence — plus the plan's allowance; an empty inbox says so.</w:t>
      </w:r>
    </w:p>
    <w:p>
      <w:pPr>
        <w:pStyle w:val="ListParagraph"/>
        <w:numPr>
          <w:ilvl w:val="0"/>
          <w:numId w:val="2"/>
        </w:numPr>
        <w:spacing w:after="60" w:line="280"/>
      </w:pPr>
      <w:r>
        <w:rPr>
          <w:rFonts w:ascii="Calibri" w:cs="Calibri" w:eastAsia="Calibri" w:hAnsi="Calibri"/>
          <w:color w:val="1A0A2E"/>
          <w:sz w:val="22"/>
          <w:szCs w:val="22"/>
        </w:rPr>
        <w:t xml:space="preserve">A daily email digest that sends each person only the alerts that were not in their previous digest, and nothing when nothing is new.</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Alerts are current state, not stored events, so a plain daily email would repeat itself forever. Rows carry a timestamp only when a real event anchors one — 'just now' on every visit would be a manufactured observation.</w:t>
      </w:r>
    </w:p>
    <w:p>
      <w:pPr>
        <w:pStyle w:val="Heading2"/>
        <w:spacing w:after="120" w:before="280"/>
      </w:pPr>
      <w:r>
        <w:rPr>
          <w:rFonts w:ascii="Calibri" w:cs="Calibri" w:eastAsia="Calibri" w:hAnsi="Calibri"/>
          <w:b/>
          <w:bCs/>
          <w:color w:val="1A0A2E"/>
          <w:sz w:val="28"/>
          <w:szCs w:val="28"/>
        </w:rPr>
        <w:t xml:space="preserve">3.9 Accounts, roles and tenancy</w:t>
      </w:r>
    </w:p>
    <w:p>
      <w:pPr>
        <w:pStyle w:val="ListParagraph"/>
        <w:numPr>
          <w:ilvl w:val="0"/>
          <w:numId w:val="2"/>
        </w:numPr>
        <w:spacing w:after="60" w:line="280"/>
      </w:pPr>
      <w:r>
        <w:rPr>
          <w:rFonts w:ascii="Calibri" w:cs="Calibri" w:eastAsia="Calibri" w:hAnsi="Calibri"/>
          <w:color w:val="1A0A2E"/>
          <w:sz w:val="22"/>
          <w:szCs w:val="22"/>
        </w:rPr>
        <w:t xml:space="preserve">Multi-tenant: client organisations own their shortlists, campaigns, API keys and usage; the creator database is global and shared, because it is the product.</w:t>
      </w:r>
    </w:p>
    <w:p>
      <w:pPr>
        <w:pStyle w:val="ListParagraph"/>
        <w:numPr>
          <w:ilvl w:val="0"/>
          <w:numId w:val="2"/>
        </w:numPr>
        <w:spacing w:after="60" w:line="280"/>
      </w:pPr>
      <w:r>
        <w:rPr>
          <w:rFonts w:ascii="Calibri" w:cs="Calibri" w:eastAsia="Calibri" w:hAnsi="Calibri"/>
          <w:color w:val="1A0A2E"/>
          <w:sz w:val="22"/>
          <w:szCs w:val="22"/>
        </w:rPr>
        <w:t xml:space="preserve">Sign-in with signed httpOnly sessions, timing-equalised credential checks, rate limiting and uniform failure messages; password reset and account invites by emailed one-time links (SHA-256 of the token stored, 30 minutes / 7 days).</w:t>
      </w:r>
    </w:p>
    <w:p>
      <w:pPr>
        <w:pStyle w:val="ListParagraph"/>
        <w:numPr>
          <w:ilvl w:val="0"/>
          <w:numId w:val="2"/>
        </w:numPr>
        <w:spacing w:after="60" w:line="280"/>
      </w:pPr>
      <w:r>
        <w:rPr>
          <w:rFonts w:ascii="Calibri" w:cs="Calibri" w:eastAsia="Calibri" w:hAnsi="Calibri"/>
          <w:color w:val="1A0A2E"/>
          <w:sz w:val="22"/>
          <w:szCs w:val="22"/>
        </w:rPr>
        <w:t xml:space="preserve">Public registration is an enquiry emailed to sales; a super admin creates the organisation and its owner from Administration → Users and the person chooses their own password from the invite. Per-row reset link, suspend and reinstate.</w:t>
      </w:r>
    </w:p>
    <w:p>
      <w:pPr>
        <w:pStyle w:val="ListParagraph"/>
        <w:numPr>
          <w:ilvl w:val="0"/>
          <w:numId w:val="2"/>
        </w:numPr>
        <w:spacing w:after="60" w:line="280"/>
      </w:pPr>
      <w:r>
        <w:rPr>
          <w:rFonts w:ascii="Calibri" w:cs="Calibri" w:eastAsia="Calibri" w:hAnsi="Calibri"/>
          <w:color w:val="1A0A2E"/>
          <w:sz w:val="22"/>
          <w:szCs w:val="22"/>
        </w:rPr>
        <w:t xml:space="preserve">Six roles with permission-based, server-enforced 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Role</w:t>
            </w:r>
          </w:p>
        </w:tc>
        <w:tc>
          <w:tcPr>
            <w:tcW w:type="dxa" w:w="69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Scope</w:t>
            </w:r>
          </w:p>
        </w:tc>
      </w:tr>
      <w:tr>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Super admin</w:t>
            </w:r>
          </w:p>
        </w:tc>
        <w:tc>
          <w:tcPr>
            <w:tcW w:type="dxa" w:w="6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Platform organisation. Everything, including scoring weights, billing and API plans</w:t>
            </w:r>
          </w:p>
        </w:tc>
      </w:tr>
      <w:tr>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Admin (manager)</w:t>
            </w:r>
          </w:p>
        </w:tc>
        <w:tc>
          <w:tcPr>
            <w:tcW w:type="dxa" w:w="6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The deputy seat: everything the analyst has, creator CRUD and publishing, verification review, users, client organisations, connectors, ingestion, AI runs, audit — not scoring weights or billing changes</w:t>
            </w:r>
          </w:p>
        </w:tc>
      </w:tr>
      <w:tr>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Analytics manager</w:t>
            </w:r>
          </w:p>
        </w:tc>
        <w:tc>
          <w:tcPr>
            <w:tcW w:type="dxa" w:w="6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Analytics, benchmarks, anomaly queue, score review; no user administration</w:t>
            </w:r>
          </w:p>
        </w:tc>
      </w:tr>
      <w:tr>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Creator (influencer)</w:t>
            </w:r>
          </w:p>
        </w:tc>
        <w:tc>
          <w:tcPr>
            <w:tcW w:type="dxa" w:w="6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Own profile, own connections, own authorised analytics, correction requests</w:t>
            </w:r>
          </w:p>
        </w:tc>
      </w:tr>
      <w:tr>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Client owner</w:t>
            </w:r>
          </w:p>
        </w:tc>
        <w:tc>
          <w:tcPr>
            <w:tcW w:type="dxa" w:w="6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Everything within their organisation, plus billing and API keys</w:t>
            </w:r>
          </w:p>
        </w:tc>
      </w:tr>
      <w:tr>
        <w:tc>
          <w:tcPr>
            <w:tcW w:type="dxa" w:w="2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Client member</w:t>
            </w:r>
          </w:p>
        </w:tc>
        <w:tc>
          <w:tcPr>
            <w:tcW w:type="dxa" w:w="6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Search, profiles, compare, shortlists, campaigns; no billing, no API keys</w:t>
            </w:r>
          </w:p>
        </w:tc>
      </w:tr>
    </w:tbl>
    <w:p>
      <w:pPr>
        <w:spacing w:after="120"/>
      </w:pP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Tenant isolation is enforced in the repository layer, not remembered per query. No password ever passes through an administrator; the seed sign-ins were retired on the day of launch and the demo picker removed from the public sign-in page.</w:t>
      </w:r>
    </w:p>
    <w:p>
      <w:pPr>
        <w:pStyle w:val="Heading2"/>
        <w:spacing w:after="120" w:before="280"/>
      </w:pPr>
      <w:r>
        <w:rPr>
          <w:rFonts w:ascii="Calibri" w:cs="Calibri" w:eastAsia="Calibri" w:hAnsi="Calibri"/>
          <w:b/>
          <w:bCs/>
          <w:color w:val="1A0A2E"/>
          <w:sz w:val="28"/>
          <w:szCs w:val="28"/>
        </w:rPr>
        <w:t xml:space="preserve">3.10 Administration and the creator portal</w:t>
      </w:r>
    </w:p>
    <w:p>
      <w:pPr>
        <w:pStyle w:val="ListParagraph"/>
        <w:numPr>
          <w:ilvl w:val="0"/>
          <w:numId w:val="2"/>
        </w:numPr>
        <w:spacing w:after="60" w:line="280"/>
      </w:pPr>
      <w:r>
        <w:rPr>
          <w:rFonts w:ascii="Calibri" w:cs="Calibri" w:eastAsia="Calibri" w:hAnsi="Calibri"/>
          <w:color w:val="1A0A2E"/>
          <w:sz w:val="22"/>
          <w:szCs w:val="22"/>
        </w:rPr>
        <w:t xml:space="preserve">Admin workspace: platform overview and database statistics, connector health with live probes, ingestion by handle, AI enrichment runs, four review queues, analytics and benchmarks, users and organisations, API management, audit trail, system health.</w:t>
      </w:r>
    </w:p>
    <w:p>
      <w:pPr>
        <w:pStyle w:val="ListParagraph"/>
        <w:numPr>
          <w:ilvl w:val="0"/>
          <w:numId w:val="2"/>
        </w:numPr>
        <w:spacing w:after="60" w:line="280"/>
      </w:pPr>
      <w:r>
        <w:rPr>
          <w:rFonts w:ascii="Calibri" w:cs="Calibri" w:eastAsia="Calibri" w:hAnsi="Calibri"/>
          <w:color w:val="1A0A2E"/>
          <w:sz w:val="22"/>
          <w:szCs w:val="22"/>
        </w:rPr>
        <w:t xml:space="preserve">Creator portal: overview, own profile, platform connections, verification status, own analytics, correction requests.</w:t>
      </w:r>
    </w:p>
    <w:p>
      <w:pPr>
        <w:pStyle w:val="Heading2"/>
        <w:spacing w:after="120" w:before="280"/>
      </w:pPr>
      <w:r>
        <w:rPr>
          <w:rFonts w:ascii="Calibri" w:cs="Calibri" w:eastAsia="Calibri" w:hAnsi="Calibri"/>
          <w:b/>
          <w:bCs/>
          <w:color w:val="1A0A2E"/>
          <w:sz w:val="28"/>
          <w:szCs w:val="28"/>
        </w:rPr>
        <w:t xml:space="preserve">3.11 Public v1 API</w:t>
      </w:r>
    </w:p>
    <w:p>
      <w:pPr>
        <w:pStyle w:val="ListParagraph"/>
        <w:numPr>
          <w:ilvl w:val="0"/>
          <w:numId w:val="2"/>
        </w:numPr>
        <w:spacing w:after="60" w:line="280"/>
      </w:pPr>
      <w:r>
        <w:rPr>
          <w:rFonts w:ascii="Calibri" w:cs="Calibri" w:eastAsia="Calibri" w:hAnsi="Calibri"/>
          <w:color w:val="1A0A2E"/>
          <w:sz w:val="22"/>
          <w:szCs w:val="22"/>
        </w:rPr>
        <w:t xml:space="preserve">API keys stored hashed and shown once at creation; scopes, rotation, revocation, per-plan quotas and burst limits, field-level access control, versioned responses and a documented reference at /api/v1 on senso360.com.</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The external API and the React application call the same service layer, so a client integrating by API sees exactly what the interface shows — including the provenance labels.</w:t>
      </w:r>
    </w:p>
    <w:p>
      <w:pPr>
        <w:pStyle w:val="Heading2"/>
        <w:spacing w:after="120" w:before="280"/>
      </w:pPr>
      <w:r>
        <w:rPr>
          <w:rFonts w:ascii="Calibri" w:cs="Calibri" w:eastAsia="Calibri" w:hAnsi="Calibri"/>
          <w:b/>
          <w:bCs/>
          <w:color w:val="1A0A2E"/>
          <w:sz w:val="28"/>
          <w:szCs w:val="28"/>
        </w:rPr>
        <w:t xml:space="preserve">3.12 Marketing site</w:t>
      </w:r>
    </w:p>
    <w:p>
      <w:pPr>
        <w:pStyle w:val="ListParagraph"/>
        <w:numPr>
          <w:ilvl w:val="0"/>
          <w:numId w:val="2"/>
        </w:numPr>
        <w:spacing w:after="60" w:line="280"/>
      </w:pPr>
      <w:r>
        <w:rPr>
          <w:rFonts w:ascii="Calibri" w:cs="Calibri" w:eastAsia="Calibri" w:hAnsi="Calibri"/>
          <w:color w:val="1A0A2E"/>
          <w:sz w:val="22"/>
          <w:szCs w:val="22"/>
        </w:rPr>
        <w:t xml:space="preserve">The landing page is built from the application's own components — the score instrument, the confidence track, the provenance panel — showing real creators, real facet counts and the real quality scatter from the live database; the two examples that must stay illustrative (a campaign, an AI extract) are disclosed once.</w:t>
      </w:r>
    </w:p>
    <w:p>
      <w:pPr>
        <w:pStyle w:val="ListParagraph"/>
        <w:numPr>
          <w:ilvl w:val="0"/>
          <w:numId w:val="2"/>
        </w:numPr>
        <w:spacing w:after="60" w:line="280"/>
      </w:pPr>
      <w:r>
        <w:rPr>
          <w:rFonts w:ascii="Calibri" w:cs="Calibri" w:eastAsia="Calibri" w:hAnsi="Calibri"/>
          <w:color w:val="1A0A2E"/>
          <w:sz w:val="22"/>
          <w:szCs w:val="22"/>
        </w:rPr>
        <w:t xml:space="preserve">One grid, one ground, one heading alignment; a once-only observer-driven reveal with no blur; instrument entrances play as a band comes into view.</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A homepage promising features the product does not have is the most expensive possible lie for a product whose pitch is that its numbers are checkable. The earlier scroll-scrubbed reveal tied opacity and blur to the scrollbar and read as clumsy; the earlier mix of three container widths and alternating bands read as assembled rather than designed.</w:t>
      </w:r>
    </w:p>
    <w:p>
      <w:pPr>
        <w:pStyle w:val="Heading2"/>
        <w:spacing w:after="120" w:before="280"/>
      </w:pPr>
      <w:r>
        <w:rPr>
          <w:rFonts w:ascii="Calibri" w:cs="Calibri" w:eastAsia="Calibri" w:hAnsi="Calibri"/>
          <w:b/>
          <w:bCs/>
          <w:color w:val="1A0A2E"/>
          <w:sz w:val="28"/>
          <w:szCs w:val="28"/>
        </w:rPr>
        <w:t xml:space="preserve">3.13 Design system</w:t>
      </w:r>
    </w:p>
    <w:p>
      <w:pPr>
        <w:pStyle w:val="ListParagraph"/>
        <w:numPr>
          <w:ilvl w:val="0"/>
          <w:numId w:val="2"/>
        </w:numPr>
        <w:spacing w:after="60" w:line="280"/>
      </w:pPr>
      <w:r>
        <w:rPr>
          <w:rFonts w:ascii="Calibri" w:cs="Calibri" w:eastAsia="Calibri" w:hAnsi="Calibri"/>
          <w:color w:val="1A0A2E"/>
          <w:sz w:val="22"/>
          <w:szCs w:val="22"/>
        </w:rPr>
        <w:t xml:space="preserve">A light, soft product for marketing teams: violet for intent (actions, active state, focus), green only for a measured positive, blue for verified provenance, teal for AI-inferred badges; Plus Jakarta Sans for headings and every numeral (tabular figures), Inter for interface text.</w:t>
      </w:r>
    </w:p>
    <w:p>
      <w:pPr>
        <w:pStyle w:val="ListParagraph"/>
        <w:numPr>
          <w:ilvl w:val="0"/>
          <w:numId w:val="2"/>
        </w:numPr>
        <w:spacing w:after="60" w:line="280"/>
      </w:pPr>
      <w:r>
        <w:rPr>
          <w:rFonts w:ascii="Calibri" w:cs="Calibri" w:eastAsia="Calibri" w:hAnsi="Calibri"/>
          <w:color w:val="1A0A2E"/>
          <w:sz w:val="22"/>
          <w:szCs w:val="22"/>
        </w:rPr>
        <w:t xml:space="preserve">Composition primitives (Section, Split, Panel) over grids of identical cards; one hero signal per screen, then a metric strip, then supporting panels; every screen implements loading, empty, error and partial-data states; keyboard-reachable, contrast-checked, accessible dialogs and tables; responsive from phone to desktop with real information hierarchy per breakpoint.</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A control must never be mistaken for a reading and a reading never for a control — so 'go' and 'good' are different hues, and an AI-derived badge does not share the action colour. Numerals share one tabular face so columns align in dense tables.</w:t>
      </w:r>
    </w:p>
    <w:p>
      <w:pPr>
        <w:pStyle w:val="Heading2"/>
        <w:spacing w:after="120" w:before="280"/>
      </w:pPr>
      <w:r>
        <w:rPr>
          <w:rFonts w:ascii="Calibri" w:cs="Calibri" w:eastAsia="Calibri" w:hAnsi="Calibri"/>
          <w:b/>
          <w:bCs/>
          <w:color w:val="1A0A2E"/>
          <w:sz w:val="28"/>
          <w:szCs w:val="28"/>
        </w:rPr>
        <w:t xml:space="preserve">3.14 Client branding</w:t>
      </w:r>
    </w:p>
    <w:p>
      <w:pPr>
        <w:pStyle w:val="ListParagraph"/>
        <w:numPr>
          <w:ilvl w:val="0"/>
          <w:numId w:val="2"/>
        </w:numPr>
        <w:spacing w:after="60" w:line="280"/>
      </w:pPr>
      <w:r>
        <w:rPr>
          <w:rFonts w:ascii="Calibri" w:cs="Calibri" w:eastAsia="Calibri" w:hAnsi="Calibri"/>
          <w:color w:val="1A0A2E"/>
          <w:sz w:val="22"/>
          <w:szCs w:val="22"/>
        </w:rPr>
        <w:t xml:space="preserve">A client organisation can carry its own logo, set when the organisation is created or by an admin API afterwards; inside that organisation's workspace the topbar, the drawer and the organisation block show the client's mark and name where the SENSO wordmark would be — and nowhere else.</w:t>
      </w:r>
    </w:p>
    <w:p>
      <w:pPr>
        <w:pStyle w:val="ListParagraph"/>
        <w:numPr>
          <w:ilvl w:val="0"/>
          <w:numId w:val="2"/>
        </w:numPr>
        <w:spacing w:after="60" w:line="280"/>
      </w:pPr>
      <w:r>
        <w:rPr>
          <w:rFonts w:ascii="Calibri" w:cs="Calibri" w:eastAsia="Calibri" w:hAnsi="Calibri"/>
          <w:color w:val="1A0A2E"/>
          <w:sz w:val="22"/>
          <w:szCs w:val="22"/>
        </w:rPr>
        <w:t xml:space="preserve">First client onboarded: Kolors Health Care, with a starter shortlist of the strongest Indian health, beauty and fitness creators so the first sign-in lands on a populated dashboard. A one-command onboarding script does the organisation, owner, logo and shortlist.</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The workspace is branded for the customer; the product's own terms — SENSO Health, SENSO Verified, the provenance labels — do not change, because they name the measurement, not the customer.</w:t>
      </w:r>
    </w:p>
    <w:p>
      <w:r>
        <w:br w:type="page"/>
      </w:r>
    </w:p>
    <w:p>
      <w:pPr>
        <w:pStyle w:val="Heading1"/>
        <w:spacing w:after="160" w:before="360"/>
      </w:pPr>
      <w:r>
        <w:rPr>
          <w:rFonts w:ascii="Calibri" w:cs="Calibri" w:eastAsia="Calibri" w:hAnsi="Calibri"/>
          <w:b/>
          <w:bCs/>
          <w:color w:val="1A0A2E"/>
          <w:sz w:val="36"/>
          <w:szCs w:val="36"/>
        </w:rPr>
        <w:t xml:space="preserve">4. The social media data SENSO collects</w:t>
      </w:r>
    </w:p>
    <w:p>
      <w:pPr>
        <w:spacing w:after="120" w:line="300"/>
      </w:pPr>
      <w:r>
        <w:rPr>
          <w:rFonts w:ascii="Calibri" w:cs="Calibri" w:eastAsia="Calibri" w:hAnsi="Calibri"/>
          <w:color w:val="1A0A2E"/>
          <w:sz w:val="22"/>
          <w:szCs w:val="22"/>
        </w:rPr>
        <w:t xml:space="preserve">Everything below is read from official platform APIs through SENSO's own credentials. Each field is stored with the platform it came from, the time it was collected and the source tier, and is shown under the label that tier earns (observed, derived, estimated, AI inferred).</w:t>
      </w:r>
    </w:p>
    <w:p>
      <w:pPr>
        <w:pStyle w:val="Heading3"/>
        <w:spacing w:after="80" w:before="200"/>
      </w:pPr>
      <w:r>
        <w:rPr>
          <w:rFonts w:ascii="Calibri" w:cs="Calibri" w:eastAsia="Calibri" w:hAnsi="Calibri"/>
          <w:b/>
          <w:bCs/>
          <w:color w:val="5B2CF0"/>
          <w:sz w:val="24"/>
          <w:szCs w:val="24"/>
        </w:rPr>
        <w:t xml:space="preserve">4.1 YouTube — Data API v3 (public channel and video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760"/>
      </w:tblGrid>
      <w:tr>
        <w:trPr>
          <w:tblHeader/>
        </w:trPr>
        <w:tc>
          <w:tcPr>
            <w:tcW w:type="dxa" w:w="17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Record</w:t>
            </w:r>
          </w:p>
        </w:tc>
        <w:tc>
          <w:tcPr>
            <w:tcW w:type="dxa" w:w="39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Fields read</w:t>
            </w:r>
          </w:p>
        </w:tc>
        <w:tc>
          <w:tcPr>
            <w:tcW w:type="dxa" w:w="37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How SENSO uses them</w:t>
            </w:r>
          </w:p>
        </w:tc>
      </w:tr>
      <w:tr>
        <w:tc>
          <w:tcPr>
            <w:tcW w:type="dxa" w:w="1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Channel</w:t>
            </w:r>
          </w:p>
        </w:tc>
        <w:tc>
          <w:tcPr>
            <w:tcW w:type="dxa" w:w="3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Title, description, custom handle, country, thumbnails (avatar), subscriber count (and whether hidden), total view count, video count, uploads playlist, YouTube's own topic categories</w:t>
            </w:r>
          </w:p>
        </w:tc>
        <w:tc>
          <w:tcPr>
            <w:tcW w:type="dxa" w:w="3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Display name, handle, bio, country, avatar, followers, total views, content count; topic categories set the observed category (unmapped topics are dropped, never guessed)</w:t>
            </w:r>
          </w:p>
        </w:tc>
      </w:tr>
      <w:tr>
        <w:tc>
          <w:tcPr>
            <w:tcW w:type="dxa" w:w="1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Uploads (recent, up to ~50)</w:t>
            </w:r>
          </w:p>
        </w:tc>
        <w:tc>
          <w:tcPr>
            <w:tcW w:type="dxa" w:w="3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Title, description, publish date, thumbnail, duration, view count, like count, comment count, video category, default audio language, hashtags parsed from the description</w:t>
            </w:r>
          </w:p>
        </w:tc>
        <w:tc>
          <w:tcPr>
            <w:tcW w:type="dxa" w:w="3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Every content-level metric: engagement rate, median and average views, cadence, consistency, anomalies, reach trend, languages; titles and descriptions feed place mentions and AI classification</w:t>
            </w:r>
          </w:p>
        </w:tc>
      </w:tr>
      <w:tr>
        <w:tc>
          <w:tcPr>
            <w:tcW w:type="dxa" w:w="1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Comments (3 recent videos, sample)</w:t>
            </w:r>
          </w:p>
        </w:tc>
        <w:tc>
          <w:tcPr>
            <w:tcW w:type="dxa" w:w="3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Comment text</w:t>
            </w:r>
          </w:p>
        </w:tc>
        <w:tc>
          <w:tcPr>
            <w:tcW w:type="dxa" w:w="3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Read only for AI comment-quality classification; never stored as profile data</w:t>
            </w:r>
          </w:p>
        </w:tc>
      </w:tr>
      <w:tr>
        <w:tc>
          <w:tcPr>
            <w:tcW w:type="dxa" w:w="1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Daily snapshot</w:t>
            </w:r>
          </w:p>
        </w:tc>
        <w:tc>
          <w:tcPr>
            <w:tcW w:type="dxa" w:w="3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Subscribers, total views, video count</w:t>
            </w:r>
          </w:p>
        </w:tc>
        <w:tc>
          <w:tcPr>
            <w:tcW w:type="dxa" w:w="3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Appended every day the account is re-read; the growth series and growth-pattern score</w:t>
            </w:r>
          </w:p>
        </w:tc>
      </w:tr>
    </w:tbl>
    <w:p>
      <w:pPr>
        <w:spacing w:after="120"/>
      </w:pPr>
    </w:p>
    <w:p>
      <w:pPr>
        <w:pStyle w:val="Heading3"/>
        <w:spacing w:after="80" w:before="200"/>
      </w:pPr>
      <w:r>
        <w:rPr>
          <w:rFonts w:ascii="Calibri" w:cs="Calibri" w:eastAsia="Calibri" w:hAnsi="Calibri"/>
          <w:b/>
          <w:bCs/>
          <w:color w:val="5B2CF0"/>
          <w:sz w:val="24"/>
          <w:szCs w:val="24"/>
        </w:rPr>
        <w:t xml:space="preserve">4.2 Instagram — Graph API, Business Discovery (Business and Creator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760"/>
      </w:tblGrid>
      <w:tr>
        <w:trPr>
          <w:tblHeader/>
        </w:trPr>
        <w:tc>
          <w:tcPr>
            <w:tcW w:type="dxa" w:w="17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Record</w:t>
            </w:r>
          </w:p>
        </w:tc>
        <w:tc>
          <w:tcPr>
            <w:tcW w:type="dxa" w:w="39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Fields read</w:t>
            </w:r>
          </w:p>
        </w:tc>
        <w:tc>
          <w:tcPr>
            <w:tcW w:type="dxa" w:w="37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Not available, and shown as absent</w:t>
            </w:r>
          </w:p>
        </w:tc>
      </w:tr>
      <w:tr>
        <w:tc>
          <w:tcPr>
            <w:tcW w:type="dxa" w:w="1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Account</w:t>
            </w:r>
          </w:p>
        </w:tc>
        <w:tc>
          <w:tcPr>
            <w:tcW w:type="dxa" w:w="3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Username, name, biography, website, profile picture, followers count, follows count, media count</w:t>
            </w:r>
          </w:p>
        </w:tc>
        <w:tc>
          <w:tcPr>
            <w:tcW w:type="dxa" w:w="3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Country, language, total views, any history before the day SENSO first read the account</w:t>
            </w:r>
          </w:p>
        </w:tc>
      </w:tr>
      <w:tr>
        <w:tc>
          <w:tcPr>
            <w:tcW w:type="dxa" w:w="1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Recent media</w:t>
            </w:r>
          </w:p>
        </w:tc>
        <w:tc>
          <w:tcPr>
            <w:tcW w:type="dxa" w:w="3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Caption, media type, product type, permalink, timestamp, like count, comments count, thumbnail</w:t>
            </w:r>
          </w:p>
        </w:tc>
        <w:tc>
          <w:tcPr>
            <w:tcW w:type="dxa" w:w="3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Views, reach, saves, shares; engagement rate is therefore measured against followers, not views</w:t>
            </w:r>
          </w:p>
        </w:tc>
      </w:tr>
      <w:tr>
        <w:tc>
          <w:tcPr>
            <w:tcW w:type="dxa" w:w="1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Daily snapshot</w:t>
            </w:r>
          </w:p>
        </w:tc>
        <w:tc>
          <w:tcPr>
            <w:tcW w:type="dxa" w:w="39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Followers, media count</w:t>
            </w:r>
          </w:p>
        </w:tc>
        <w:tc>
          <w:tcPr>
            <w:tcW w:type="dxa" w:w="3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w:t>
            </w:r>
          </w:p>
        </w:tc>
      </w:tr>
    </w:tbl>
    <w:p>
      <w:pPr>
        <w:spacing w:after="120"/>
      </w:pP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YouTube engagement is measured against views and Instagram against followers because that is the denominator each platform actually reports. One formula for both would make the two incomparable while looking comparable, so the platform is always shown beside the figure.</w:t>
      </w:r>
    </w:p>
    <w:p>
      <w:pPr>
        <w:pStyle w:val="Heading3"/>
        <w:spacing w:after="80" w:before="200"/>
      </w:pPr>
      <w:r>
        <w:rPr>
          <w:rFonts w:ascii="Calibri" w:cs="Calibri" w:eastAsia="Calibri" w:hAnsi="Calibri"/>
          <w:b/>
          <w:bCs/>
          <w:color w:val="5B2CF0"/>
          <w:sz w:val="24"/>
          <w:szCs w:val="24"/>
        </w:rPr>
        <w:t xml:space="preserve">4.3 Held only with a creator's authorisation (OAuth) — none connected today</w:t>
      </w:r>
    </w:p>
    <w:p>
      <w:pPr>
        <w:pStyle w:val="ListParagraph"/>
        <w:numPr>
          <w:ilvl w:val="0"/>
          <w:numId w:val="2"/>
        </w:numPr>
        <w:spacing w:after="60" w:line="280"/>
      </w:pPr>
      <w:r>
        <w:rPr>
          <w:rFonts w:ascii="Calibri" w:cs="Calibri" w:eastAsia="Calibri" w:hAnsi="Calibri"/>
          <w:color w:val="1A0A2E"/>
          <w:sz w:val="22"/>
          <w:szCs w:val="22"/>
        </w:rPr>
        <w:t xml:space="preserve">Audience demographics: countries, languages, age bands, gender (share of audience).</w:t>
      </w:r>
    </w:p>
    <w:p>
      <w:pPr>
        <w:pStyle w:val="ListParagraph"/>
        <w:numPr>
          <w:ilvl w:val="0"/>
          <w:numId w:val="2"/>
        </w:numPr>
        <w:spacing w:after="60" w:line="280"/>
      </w:pPr>
      <w:r>
        <w:rPr>
          <w:rFonts w:ascii="Calibri" w:cs="Calibri" w:eastAsia="Calibri" w:hAnsi="Calibri"/>
          <w:color w:val="1A0A2E"/>
          <w:sz w:val="22"/>
          <w:szCs w:val="22"/>
        </w:rPr>
        <w:t xml:space="preserve">Audience-quality signals: bot risk and inactive-audience share with their evidence; first-party watch time, impressions and reach.</w:t>
      </w:r>
    </w:p>
    <w:p>
      <w:pPr>
        <w:pStyle w:val="ListParagraph"/>
        <w:numPr>
          <w:ilvl w:val="0"/>
          <w:numId w:val="2"/>
        </w:numPr>
        <w:spacing w:after="60" w:line="280"/>
      </w:pPr>
      <w:r>
        <w:rPr>
          <w:rFonts w:ascii="Calibri" w:cs="Calibri" w:eastAsia="Calibri" w:hAnsi="Calibri"/>
          <w:color w:val="1A0A2E"/>
          <w:sz w:val="22"/>
          <w:szCs w:val="22"/>
        </w:rPr>
        <w:t xml:space="preserve">Verification: the SENSO Verified badge is issued only after an OAuth identity match, never from public data.</w:t>
      </w:r>
    </w:p>
    <w:p>
      <w:pPr>
        <w:pStyle w:val="Heading3"/>
        <w:spacing w:after="80" w:before="200"/>
      </w:pPr>
      <w:r>
        <w:rPr>
          <w:rFonts w:ascii="Calibri" w:cs="Calibri" w:eastAsia="Calibri" w:hAnsi="Calibri"/>
          <w:b/>
          <w:bCs/>
          <w:color w:val="5B2CF0"/>
          <w:sz w:val="24"/>
          <w:szCs w:val="24"/>
        </w:rPr>
        <w:t xml:space="preserve">4.4 Never collected</w:t>
      </w:r>
    </w:p>
    <w:p>
      <w:pPr>
        <w:pStyle w:val="ListParagraph"/>
        <w:numPr>
          <w:ilvl w:val="0"/>
          <w:numId w:val="2"/>
        </w:numPr>
        <w:spacing w:after="60" w:line="280"/>
      </w:pPr>
      <w:r>
        <w:rPr>
          <w:rFonts w:ascii="Calibri" w:cs="Calibri" w:eastAsia="Calibri" w:hAnsi="Calibri"/>
          <w:color w:val="1A0A2E"/>
          <w:sz w:val="22"/>
          <w:szCs w:val="22"/>
        </w:rPr>
        <w:t xml:space="preserve">Scraped pages, purchased lists, private messages, individual follower identities, or any figure a platform does not publish.</w:t>
      </w:r>
    </w:p>
    <w:p>
      <w:pPr>
        <w:pStyle w:val="Heading1"/>
        <w:spacing w:after="160" w:before="360"/>
      </w:pPr>
      <w:r>
        <w:rPr>
          <w:rFonts w:ascii="Calibri" w:cs="Calibri" w:eastAsia="Calibri" w:hAnsi="Calibri"/>
          <w:b/>
          <w:bCs/>
          <w:color w:val="1A0A2E"/>
          <w:sz w:val="36"/>
          <w:szCs w:val="36"/>
        </w:rPr>
        <w:t xml:space="preserve">5. Metrics and parameters</w:t>
      </w:r>
    </w:p>
    <w:p>
      <w:pPr>
        <w:spacing w:after="120" w:line="300"/>
      </w:pPr>
      <w:r>
        <w:rPr>
          <w:rFonts w:ascii="Calibri" w:cs="Calibri" w:eastAsia="Calibri" w:hAnsi="Calibri"/>
          <w:color w:val="1A0A2E"/>
          <w:sz w:val="22"/>
          <w:szCs w:val="22"/>
        </w:rPr>
        <w:t xml:space="preserve">Every metric is deterministic, versioned (analytics 1.1.0; formulas health-1.x, risk-1.0.0, confidence-1.0.0, fit-1.0.0, campaign-1.0.0) and reproducible from the stored observations. A statistic is not reported at all below five observations; the profile shows why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3060"/>
      </w:tblGrid>
      <w:tr>
        <w:trPr>
          <w:tblHeader/>
        </w:trPr>
        <w:tc>
          <w:tcPr>
            <w:tcW w:type="dxa" w:w="21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Metric</w:t>
            </w:r>
          </w:p>
        </w:tc>
        <w:tc>
          <w:tcPr>
            <w:tcW w:type="dxa" w:w="42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Definition</w:t>
            </w:r>
          </w:p>
        </w:tc>
        <w:tc>
          <w:tcPr>
            <w:tcW w:type="dxa" w:w="30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Threshold / note</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Followers</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Subscriber or follower count as the platform reports it</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Hidden subscriber counts are recorded as hidden, not zero</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Median views · average views</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Median and mean views over the recent uploads read</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Median leads everywhere: one viral video must not move the typical figure</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Engagement rate</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Median over recent posts of (likes + comments + shares) ÷ denominator × 100; denominator is views on YouTube, followers on Instagram</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Posts with hidden likes or disabled comments contribute nothing and are not counted as zero; null below 5 usable posts</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Views per follower</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Median views as a share of audience size</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The observable proxy for how much of the audience is actually active</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Upload frequency</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Publications per week over the window the observations cover</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Needs two dated uploads</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Upload consistency (0–100)</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Regularity of publishing intervals: inverse of the log standard deviation of gaps between uploads</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1.0 log-sd (intervals differing by an order of magnitude) scores 0; database median 0.42</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View consistency (0–100)</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Predictability of view counts: inverse of the log inter-quartile spread</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 twenty-fold gap between quartiles scores 0; database median 0.53</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View anomalies</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Uploads more than 2.5 standard deviations from the creator's own median — spikes and collapses</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Only with 10+ observations; measured against the creator's own baseline, never a global one</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View anomaly score (0–100)</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100 − 3 × (share of anomalous uploads), floored at 0</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100 means no unexplained deviation</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Growth pattern (0–100)</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From daily snapshots: steadiness of follower change (volatility), trend (average change), and a penalty for a single spike</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Needs 6+ snapshots and 4+ deltas; a sawtooth typical of purchased audience is penalised</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Reach trend (0–100)</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Until snapshots exist: median views of the newer half of settled uploads ÷ older half, on a log scale, neutral at 0.75</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Uploads under 30 days old excluded; needs 8+ uploads across 90+ days; recorded as the weaker method</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Followers / views gained</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Change over a trailing window using the nearest snapshot at or before the cutoff</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Reports the days actually spanned while history is still building</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Days since last publication</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Now minus the newest upload's publish date</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Clamped at zero</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Activity status</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Against the creator's own cadence: active if within 1.5× their expected gap; recently active within 30 days; slowing after; dormant at 90+ days or no uploads</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 monthly creator two weeks out is fine; a daily creator two weeks out is not</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Average content length</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Mean duration of recent videos (YouTube)</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Place mentions</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Cities named in the channel title, description (one mention) or upload titles (two mentions), with country disambiguation</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Rendered as Mentions, never as a location; no public API exposes a location finer than country</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Estimated monthly reach</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Median views × uploads per week × 4.3</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Labelled an estimate</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Estimated monthly earnings (USD)</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Median views × uploads per week × 4.3 × 0.0012 to 0.0055</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 thin model, labelled a range everywhere; candidate for replacement with category CPM data</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CPM · CPE · CPV</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Arithmetic over the modelled placement price and the creator's measured reach and engagement</w:t>
            </w:r>
          </w:p>
        </w:tc>
        <w:tc>
          <w:tcPr>
            <w:tcW w:type="dxa" w:w="30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Modelled, not a rate card — SENSO holds no creator rates</w:t>
            </w:r>
          </w:p>
        </w:tc>
      </w:tr>
    </w:tbl>
    <w:p>
      <w:pPr>
        <w:spacing w:after="120"/>
      </w:pPr>
    </w:p>
    <w:p>
      <w:pPr>
        <w:pStyle w:val="Heading3"/>
        <w:spacing w:after="80" w:before="200"/>
      </w:pPr>
      <w:r>
        <w:rPr>
          <w:rFonts w:ascii="Calibri" w:cs="Calibri" w:eastAsia="Calibri" w:hAnsi="Calibri"/>
          <w:b/>
          <w:bCs/>
          <w:color w:val="5B2CF0"/>
          <w:sz w:val="24"/>
          <w:szCs w:val="24"/>
        </w:rPr>
        <w:t xml:space="preserve">Audience-size bands</w:t>
      </w:r>
    </w:p>
    <w:p>
      <w:pPr>
        <w:spacing w:after="120" w:line="300"/>
      </w:pPr>
      <w:r>
        <w:rPr>
          <w:rFonts w:ascii="Calibri" w:cs="Calibri" w:eastAsia="Calibri" w:hAnsi="Calibri"/>
          <w:color w:val="1A0A2E"/>
          <w:sz w:val="22"/>
          <w:szCs w:val="22"/>
        </w:rPr>
        <w:t xml:space="preserve">Nano 1K–10K · Micro 10K–100K · Mid 100K–500K · Macro 500K–1M · Mega 1M+. The band is one of the two axes of every benchmark cohort.</w:t>
      </w:r>
    </w:p>
    <w:p>
      <w:pPr>
        <w:pStyle w:val="Heading3"/>
        <w:spacing w:after="80" w:before="200"/>
      </w:pPr>
      <w:r>
        <w:rPr>
          <w:rFonts w:ascii="Calibri" w:cs="Calibri" w:eastAsia="Calibri" w:hAnsi="Calibri"/>
          <w:b/>
          <w:bCs/>
          <w:color w:val="5B2CF0"/>
          <w:sz w:val="24"/>
          <w:szCs w:val="24"/>
        </w:rPr>
        <w:t xml:space="preserve">Categories</w:t>
      </w:r>
    </w:p>
    <w:p>
      <w:pPr>
        <w:spacing w:after="120" w:line="300"/>
      </w:pPr>
      <w:r>
        <w:rPr>
          <w:rFonts w:ascii="Calibri" w:cs="Calibri" w:eastAsia="Calibri" w:hAnsi="Calibri"/>
          <w:color w:val="1A0A2E"/>
          <w:sz w:val="22"/>
          <w:szCs w:val="22"/>
        </w:rPr>
        <w:t xml:space="preserve">Fashion, beauty, technology, travel, food, finance, fitness, gaming, education, lifestyle, entertainment, parenting, automotive, business, health, sports. A category is observed when the platform publishes it (YouTube topic categories) and inferred when a model assigns it; the two are stored apart and merged observed-first.</w:t>
      </w:r>
    </w:p>
    <w:p>
      <w:pPr>
        <w:pStyle w:val="Heading1"/>
        <w:spacing w:after="160" w:before="360"/>
      </w:pPr>
      <w:r>
        <w:rPr>
          <w:rFonts w:ascii="Calibri" w:cs="Calibri" w:eastAsia="Calibri" w:hAnsi="Calibri"/>
          <w:b/>
          <w:bCs/>
          <w:color w:val="1A0A2E"/>
          <w:sz w:val="36"/>
          <w:szCs w:val="36"/>
        </w:rPr>
        <w:t xml:space="preserve">6. SENSO Health — the score and its components</w:t>
      </w:r>
    </w:p>
    <w:p>
      <w:pPr>
        <w:spacing w:after="120" w:line="300"/>
      </w:pPr>
      <w:r>
        <w:rPr>
          <w:rFonts w:ascii="Calibri" w:cs="Calibri" w:eastAsia="Calibri" w:hAnsi="Calibri"/>
          <w:color w:val="1A0A2E"/>
          <w:sz w:val="22"/>
          <w:szCs w:val="22"/>
        </w:rPr>
        <w:t xml:space="preserve">A weighted composite of nine components, each normalised to 0–100. A component that cannot be measured is withheld and the remaining weights renormalise; a score is published only when at least 40% of the formula's weight is measurable. Every score stores each component's value, weight, availability and the evidence behind it, the formula version and the computation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2500"/>
        <w:gridCol w:w="2700"/>
        <w:gridCol w:w="1960"/>
      </w:tblGrid>
      <w:tr>
        <w:trPr>
          <w:tblHeader/>
        </w:trPr>
        <w:tc>
          <w:tcPr>
            <w:tcW w:type="dxa" w:w="15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Component</w:t>
            </w:r>
          </w:p>
        </w:tc>
        <w:tc>
          <w:tcPr>
            <w:tcW w:type="dxa" w:w="7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Weight</w:t>
            </w:r>
          </w:p>
        </w:tc>
        <w:tc>
          <w:tcPr>
            <w:tcW w:type="dxa" w:w="25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Input</w:t>
            </w:r>
          </w:p>
        </w:tc>
        <w:tc>
          <w:tcPr>
            <w:tcW w:type="dxa" w:w="27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Normalisation</w:t>
            </w:r>
          </w:p>
        </w:tc>
        <w:tc>
          <w:tcPr>
            <w:tcW w:type="dxa" w:w="19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Measurable today</w:t>
            </w:r>
          </w:p>
        </w:tc>
      </w:tr>
      <w:tr>
        <w:tc>
          <w:tcPr>
            <w:tcW w:type="dxa" w:w="1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Authenticity</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0.20</w:t>
            </w:r>
          </w:p>
        </w:tc>
        <w:tc>
          <w:tcPr>
            <w:tcW w:type="dxa" w:w="2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Bot risk and inactive-audience share (audience-quality signals)</w:t>
            </w:r>
          </w:p>
        </w:tc>
        <w:tc>
          <w:tcPr>
            <w:tcW w:type="dxa" w:w="2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100 − (bot × 0.65 + inactive × 0.35)</w:t>
            </w:r>
          </w:p>
        </w:tc>
        <w:tc>
          <w:tcPr>
            <w:tcW w:type="dxa" w:w="1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Only with authorised or licensed audience data — withheld for every public-API creator</w:t>
            </w:r>
          </w:p>
        </w:tc>
      </w:tr>
      <w:tr>
        <w:tc>
          <w:tcPr>
            <w:tcW w:type="dxa" w:w="1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Engagement quality</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0.15</w:t>
            </w:r>
          </w:p>
        </w:tc>
        <w:tc>
          <w:tcPr>
            <w:tcW w:type="dxa" w:w="2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Engagement-rate score adjusted by comment quality (AI) and audience activity</w:t>
            </w:r>
          </w:p>
        </w:tc>
        <w:tc>
          <w:tcPr>
            <w:tcW w:type="dxa" w:w="2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rate score × (0.55 + 0.45 × (0.6 quality + 0.4 activity)); absent quality or activity defaults to 60</w:t>
            </w:r>
          </w:p>
        </w:tc>
        <w:tc>
          <w:tcPr>
            <w:tcW w:type="dxa" w:w="1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Yes once AI classification has run; otherwise from the rate alone</w:t>
            </w:r>
          </w:p>
        </w:tc>
      </w:tr>
      <w:tr>
        <w:tc>
          <w:tcPr>
            <w:tcW w:type="dxa" w:w="1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Engagement rate</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0.15</w:t>
            </w:r>
          </w:p>
        </w:tc>
        <w:tc>
          <w:tcPr>
            <w:tcW w:type="dxa" w:w="2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Median engagement rate against the cohort median (category × size)</w:t>
            </w:r>
          </w:p>
        </w:tc>
        <w:tc>
          <w:tcPr>
            <w:tcW w:type="dxa" w:w="2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Median performance scores 60; twice the median approaches 100; without a cohort, a conservative log curve</w:t>
            </w:r>
          </w:p>
        </w:tc>
        <w:tc>
          <w:tcPr>
            <w:tcW w:type="dxa" w:w="1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Yes</w:t>
            </w:r>
          </w:p>
        </w:tc>
      </w:tr>
      <w:tr>
        <w:tc>
          <w:tcPr>
            <w:tcW w:type="dxa" w:w="1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Growth pattern</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0.15</w:t>
            </w:r>
          </w:p>
        </w:tc>
        <w:tc>
          <w:tcPr>
            <w:tcW w:type="dxa" w:w="2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Daily follower snapshots; reach trend from uploads until enough exist</w:t>
            </w:r>
          </w:p>
        </w:tc>
        <w:tc>
          <w:tcPr>
            <w:tcW w:type="dxa" w:w="2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Steadiness, trend and spike penalty (see §5)</w:t>
            </w:r>
          </w:p>
        </w:tc>
        <w:tc>
          <w:tcPr>
            <w:tcW w:type="dxa" w:w="1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Yes for accounts with 6+ snapshots; reach trend otherwise; withheld for fresh Instagram accounts</w:t>
            </w:r>
          </w:p>
        </w:tc>
      </w:tr>
      <w:tr>
        <w:tc>
          <w:tcPr>
            <w:tcW w:type="dxa" w:w="1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View consistency</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0.10</w:t>
            </w:r>
          </w:p>
        </w:tc>
        <w:tc>
          <w:tcPr>
            <w:tcW w:type="dxa" w:w="2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Recent view counts</w:t>
            </w:r>
          </w:p>
        </w:tc>
        <w:tc>
          <w:tcPr>
            <w:tcW w:type="dxa" w:w="2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Inverse log spread (see §5)</w:t>
            </w:r>
          </w:p>
        </w:tc>
        <w:tc>
          <w:tcPr>
            <w:tcW w:type="dxa" w:w="1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Yes (YouTube)</w:t>
            </w:r>
          </w:p>
        </w:tc>
      </w:tr>
      <w:tr>
        <w:tc>
          <w:tcPr>
            <w:tcW w:type="dxa" w:w="1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Audience activity</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0.10</w:t>
            </w:r>
          </w:p>
        </w:tc>
        <w:tc>
          <w:tcPr>
            <w:tcW w:type="dxa" w:w="2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Views per follower against the cohort median</w:t>
            </w:r>
          </w:p>
        </w:tc>
        <w:tc>
          <w:tcPr>
            <w:tcW w:type="dxa" w:w="2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60 + 10 × log2(ratio ÷ cohort median)</w:t>
            </w:r>
          </w:p>
        </w:tc>
        <w:tc>
          <w:tcPr>
            <w:tcW w:type="dxa" w:w="1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Yes (YouTube)</w:t>
            </w:r>
          </w:p>
        </w:tc>
      </w:tr>
      <w:tr>
        <w:tc>
          <w:tcPr>
            <w:tcW w:type="dxa" w:w="1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Comment quality</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0.05</w:t>
            </w:r>
          </w:p>
        </w:tc>
        <w:tc>
          <w:tcPr>
            <w:tcW w:type="dxa" w:w="2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AI rating of a sample of real comments</w:t>
            </w:r>
          </w:p>
        </w:tc>
        <w:tc>
          <w:tcPr>
            <w:tcW w:type="dxa" w:w="2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0–100 as rated; 50 when comments are disabled</w:t>
            </w:r>
          </w:p>
        </w:tc>
        <w:tc>
          <w:tcPr>
            <w:tcW w:type="dxa" w:w="1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After AI classification</w:t>
            </w:r>
          </w:p>
        </w:tc>
      </w:tr>
      <w:tr>
        <w:tc>
          <w:tcPr>
            <w:tcW w:type="dxa" w:w="1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Upload consistency</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0.05</w:t>
            </w:r>
          </w:p>
        </w:tc>
        <w:tc>
          <w:tcPr>
            <w:tcW w:type="dxa" w:w="2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Publishing intervals</w:t>
            </w:r>
          </w:p>
        </w:tc>
        <w:tc>
          <w:tcPr>
            <w:tcW w:type="dxa" w:w="2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Inverse log standard deviation (see §5)</w:t>
            </w:r>
          </w:p>
        </w:tc>
        <w:tc>
          <w:tcPr>
            <w:tcW w:type="dxa" w:w="1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Yes</w:t>
            </w:r>
          </w:p>
        </w:tc>
      </w:tr>
      <w:tr>
        <w:tc>
          <w:tcPr>
            <w:tcW w:type="dxa" w:w="1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Brand safety</w:t>
            </w:r>
          </w:p>
        </w:tc>
        <w:tc>
          <w:tcPr>
            <w:tcW w:type="dxa" w:w="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0.05</w:t>
            </w:r>
          </w:p>
        </w:tc>
        <w:tc>
          <w:tcPr>
            <w:tcW w:type="dxa" w:w="25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AI rating of titles, descriptions and comments</w:t>
            </w:r>
          </w:p>
        </w:tc>
        <w:tc>
          <w:tcPr>
            <w:tcW w:type="dxa" w:w="2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0–100 as rated</w:t>
            </w:r>
          </w:p>
        </w:tc>
        <w:tc>
          <w:tcPr>
            <w:tcW w:type="dxa" w:w="1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After AI classification</w:t>
            </w:r>
          </w:p>
        </w:tc>
      </w:tr>
    </w:tbl>
    <w:p>
      <w:pPr>
        <w:spacing w:after="120"/>
      </w:pPr>
    </w:p>
    <w:p>
      <w:pPr>
        <w:pStyle w:val="Heading3"/>
        <w:spacing w:after="80" w:before="200"/>
      </w:pPr>
      <w:r>
        <w:rPr>
          <w:rFonts w:ascii="Calibri" w:cs="Calibri" w:eastAsia="Calibri" w:hAnsi="Calibri"/>
          <w:b/>
          <w:bCs/>
          <w:color w:val="5B2CF0"/>
          <w:sz w:val="24"/>
          <w:szCs w:val="24"/>
        </w:rPr>
        <w:t xml:space="preserve">Bands</w:t>
      </w:r>
    </w:p>
    <w:p>
      <w:pPr>
        <w:spacing w:after="120" w:line="300"/>
      </w:pPr>
      <w:r>
        <w:rPr>
          <w:rFonts w:ascii="Calibri" w:cs="Calibri" w:eastAsia="Calibri" w:hAnsi="Calibri"/>
          <w:color w:val="1A0A2E"/>
          <w:sz w:val="22"/>
          <w:szCs w:val="22"/>
        </w:rPr>
        <w:t xml:space="preserve">Excellent 85–100 · Strong 70–84 · Fair 50–69 · Needs review below 50. Coverage without AI classification is typically 55% of the formula's weight; with it, 65%. The published score always shows how much of the formula ran.</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Renormalising is right when one or two components are missing and wrong when almost everything is: a channel with a single viral upload would otherwise score 100 out of one number. Withholding below 40% coverage is the same judgement as withholding a percentile below a cohort of eight.</w:t>
      </w:r>
    </w:p>
    <w:p>
      <w:pPr>
        <w:pStyle w:val="Heading1"/>
        <w:spacing w:after="160" w:before="360"/>
      </w:pPr>
      <w:r>
        <w:rPr>
          <w:rFonts w:ascii="Calibri" w:cs="Calibri" w:eastAsia="Calibri" w:hAnsi="Calibri"/>
          <w:b/>
          <w:bCs/>
          <w:color w:val="1A0A2E"/>
          <w:sz w:val="36"/>
          <w:szCs w:val="36"/>
        </w:rPr>
        <w:t xml:space="preserve">7. Risk — bot risk, audience quality and brand safety</w:t>
      </w:r>
    </w:p>
    <w:p>
      <w:pPr>
        <w:spacing w:after="120" w:line="300"/>
      </w:pPr>
      <w:r>
        <w:rPr>
          <w:rFonts w:ascii="Calibri" w:cs="Calibri" w:eastAsia="Calibri" w:hAnsi="Calibri"/>
          <w:color w:val="1A0A2E"/>
          <w:sz w:val="22"/>
          <w:szCs w:val="22"/>
        </w:rPr>
        <w:t xml:space="preserve">Risk is a claim about the audience, published as a level (low, medium, high) or as 'not assessed' when the audience was never measured. It is shown separately from SENSO Health and is never averaged into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2600"/>
        <w:gridCol w:w="1860"/>
      </w:tblGrid>
      <w:tr>
        <w:trPr>
          <w:tblHeader/>
        </w:trPr>
        <w:tc>
          <w:tcPr>
            <w:tcW w:type="dxa" w:w="17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Signal</w:t>
            </w:r>
          </w:p>
        </w:tc>
        <w:tc>
          <w:tcPr>
            <w:tcW w:type="dxa" w:w="32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What it is</w:t>
            </w:r>
          </w:p>
        </w:tc>
        <w:tc>
          <w:tcPr>
            <w:tcW w:type="dxa" w:w="26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Source</w:t>
            </w:r>
          </w:p>
        </w:tc>
        <w:tc>
          <w:tcPr>
            <w:tcW w:type="dxa" w:w="18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Today</w:t>
            </w:r>
          </w:p>
        </w:tc>
      </w:tr>
      <w:tr>
        <w:tc>
          <w:tcPr>
            <w:tcW w:type="dxa" w:w="1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Bot risk (0–100)</w:t>
            </w:r>
          </w:p>
        </w:tc>
        <w:tc>
          <w:tcPr>
            <w:tcW w:type="dxa" w:w="3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The likelihood that a material share of the audience is inauthentic, with its supporting evidence (signal, observation, weight)</w:t>
            </w:r>
          </w:p>
        </w:tc>
        <w:tc>
          <w:tcPr>
            <w:tcW w:type="dxa" w:w="2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Authorised first-party analytics or a licensed provider; never a model, which is forbidden from producing a bot percentage</w:t>
            </w:r>
          </w:p>
        </w:tc>
        <w:tc>
          <w:tcPr>
            <w:tcW w:type="dxa" w:w="18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Not assessed for any public-API creator; the profile says so rather than showing 0</w:t>
            </w:r>
          </w:p>
        </w:tc>
      </w:tr>
      <w:tr>
        <w:tc>
          <w:tcPr>
            <w:tcW w:type="dxa" w:w="1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Inactive audience (0–100)</w:t>
            </w:r>
          </w:p>
        </w:tc>
        <w:tc>
          <w:tcPr>
            <w:tcW w:type="dxa" w:w="3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Share of the audience showing no activity</w:t>
            </w:r>
          </w:p>
        </w:tc>
        <w:tc>
          <w:tcPr>
            <w:tcW w:type="dxa" w:w="2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Same as bot risk</w:t>
            </w:r>
          </w:p>
        </w:tc>
        <w:tc>
          <w:tcPr>
            <w:tcW w:type="dxa" w:w="18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Not assessed</w:t>
            </w:r>
          </w:p>
        </w:tc>
      </w:tr>
      <w:tr>
        <w:tc>
          <w:tcPr>
            <w:tcW w:type="dxa" w:w="1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View anomaly (0–100)</w:t>
            </w:r>
          </w:p>
        </w:tc>
        <w:tc>
          <w:tcPr>
            <w:tcW w:type="dxa" w:w="3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Unexplained spikes or collapses against the creator's own baseline (see §5)</w:t>
            </w:r>
          </w:p>
        </w:tc>
        <w:tc>
          <w:tcPr>
            <w:tcW w:type="dxa" w:w="2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Derived from observed uploads</w:t>
            </w:r>
          </w:p>
        </w:tc>
        <w:tc>
          <w:tcPr>
            <w:tcW w:type="dxa" w:w="18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Measured</w:t>
            </w:r>
          </w:p>
        </w:tc>
      </w:tr>
      <w:tr>
        <w:tc>
          <w:tcPr>
            <w:tcW w:type="dxa" w:w="17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Brand safety (0–100)</w:t>
            </w:r>
          </w:p>
        </w:tc>
        <w:tc>
          <w:tcPr>
            <w:tcW w:type="dxa" w:w="3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Suitability for a mainstream advertiser, with per-check levels (none / low / moderate / high) and a note</w:t>
            </w:r>
          </w:p>
        </w:tc>
        <w:tc>
          <w:tcPr>
            <w:tcW w:type="dxa" w:w="2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AI classification of titles, descriptions and comments</w:t>
            </w:r>
          </w:p>
        </w:tc>
        <w:tc>
          <w:tcPr>
            <w:tcW w:type="dxa" w:w="18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After AI classification</w:t>
            </w:r>
          </w:p>
        </w:tc>
      </w:tr>
    </w:tbl>
    <w:p>
      <w:pPr>
        <w:spacing w:after="120"/>
      </w:pPr>
    </w:p>
    <w:p>
      <w:pPr>
        <w:pStyle w:val="Heading3"/>
        <w:spacing w:after="80" w:before="200"/>
      </w:pPr>
      <w:r>
        <w:rPr>
          <w:rFonts w:ascii="Calibri" w:cs="Calibri" w:eastAsia="Calibri" w:hAnsi="Calibri"/>
          <w:b/>
          <w:bCs/>
          <w:color w:val="5B2CF0"/>
          <w:sz w:val="24"/>
          <w:szCs w:val="24"/>
        </w:rPr>
        <w:t xml:space="preserve">How the level is graded</w:t>
      </w:r>
    </w:p>
    <w:p>
      <w:pPr>
        <w:pStyle w:val="ListParagraph"/>
        <w:numPr>
          <w:ilvl w:val="0"/>
          <w:numId w:val="2"/>
        </w:numPr>
        <w:spacing w:after="60" w:line="280"/>
      </w:pPr>
      <w:r>
        <w:rPr>
          <w:rFonts w:ascii="Calibri" w:cs="Calibri" w:eastAsia="Calibri" w:hAnsi="Calibri"/>
          <w:color w:val="1A0A2E"/>
          <w:sz w:val="22"/>
          <w:szCs w:val="22"/>
        </w:rPr>
        <w:t xml:space="preserve">Composite = bot × 0.40 + inactive × 0.20 + (100 − anomaly score) × 0.20 + (100 − brand safety) × 0.20; high at 45+, medium at 22+.</w:t>
      </w:r>
    </w:p>
    <w:p>
      <w:pPr>
        <w:pStyle w:val="ListParagraph"/>
        <w:numPr>
          <w:ilvl w:val="0"/>
          <w:numId w:val="2"/>
        </w:numPr>
        <w:spacing w:after="60" w:line="280"/>
      </w:pPr>
      <w:r>
        <w:rPr>
          <w:rFonts w:ascii="Calibri" w:cs="Calibri" w:eastAsia="Calibri" w:hAnsi="Calibri"/>
          <w:color w:val="1A0A2E"/>
          <w:sz w:val="22"/>
          <w:szCs w:val="22"/>
        </w:rPr>
        <w:t xml:space="preserve">Floor, which the composite cannot pull below: high when bot risk ≥ 70 or brand safety ≤ 35; medium when bot risk ≥ 40, brand safety ≤ 60, inactive audience ≥ 65 or anomaly ≥ 60.</w:t>
      </w:r>
    </w:p>
    <w:p>
      <w:pPr>
        <w:pStyle w:val="ListParagraph"/>
        <w:numPr>
          <w:ilvl w:val="0"/>
          <w:numId w:val="2"/>
        </w:numPr>
        <w:spacing w:after="60" w:line="280"/>
      </w:pPr>
      <w:r>
        <w:rPr>
          <w:rFonts w:ascii="Calibri" w:cs="Calibri" w:eastAsia="Calibri" w:hAnsi="Calibri"/>
          <w:color w:val="1A0A2E"/>
          <w:sz w:val="22"/>
          <w:szCs w:val="22"/>
        </w:rPr>
        <w:t xml:space="preserve">The higher of floor and composite is the level. When neither bot risk nor inactive audience was measured and the result would be 'low', the level is 'not assessed' instead — brand safety can raise a risk level but cannot clear one.</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An 85/100 bot-risk signal once read as 'medium' after averaging with three clean signals. And reporting 'low' off content alone would certify something no one measured: risk is about the audience, and the two signals that speak to it need access nobody has yet. The product says 'not assessed'.</w:t>
      </w:r>
    </w:p>
    <w:p>
      <w:pPr>
        <w:pStyle w:val="Heading1"/>
        <w:spacing w:after="160" w:before="360"/>
      </w:pPr>
      <w:r>
        <w:rPr>
          <w:rFonts w:ascii="Calibri" w:cs="Calibri" w:eastAsia="Calibri" w:hAnsi="Calibri"/>
          <w:b/>
          <w:bCs/>
          <w:color w:val="1A0A2E"/>
          <w:sz w:val="36"/>
          <w:szCs w:val="36"/>
        </w:rPr>
        <w:t xml:space="preserve">8. Data confidence — how much to trust the numbers</w:t>
      </w:r>
    </w:p>
    <w:p>
      <w:pPr>
        <w:spacing w:after="120" w:line="300"/>
      </w:pPr>
      <w:r>
        <w:rPr>
          <w:rFonts w:ascii="Calibri" w:cs="Calibri" w:eastAsia="Calibri" w:hAnsi="Calibri"/>
          <w:color w:val="1A0A2E"/>
          <w:sz w:val="22"/>
          <w:szCs w:val="22"/>
        </w:rPr>
        <w:t xml:space="preserve">A separate axis from quality, scored 0–100 and banded: High 90+, Good 70–89, Moderate 50–69, Preliminary below 50. It is shown beside every score, never folded into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5860"/>
      </w:tblGrid>
      <w:tr>
        <w:trPr>
          <w:tblHeader/>
        </w:trPr>
        <w:tc>
          <w:tcPr>
            <w:tcW w:type="dxa" w:w="21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Component</w:t>
            </w:r>
          </w:p>
        </w:tc>
        <w:tc>
          <w:tcPr>
            <w:tcW w:type="dxa" w:w="14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Points</w:t>
            </w:r>
          </w:p>
        </w:tc>
        <w:tc>
          <w:tcPr>
            <w:tcW w:type="dxa" w:w="58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Rule</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Data completeness</w:t>
            </w:r>
          </w:p>
        </w:tc>
        <w:tc>
          <w:tcPr>
            <w:tcW w:type="dxa" w:w="1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up to 30</w:t>
            </w:r>
          </w:p>
        </w:tc>
        <w:tc>
          <w:tcPr>
            <w:tcW w:type="dxa" w:w="58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Share of expected profile fields present (bio, country, languages, categories, total views, followers, audience data)</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Historical depth</w:t>
            </w:r>
          </w:p>
        </w:tc>
        <w:tc>
          <w:tcPr>
            <w:tcW w:type="dxa" w:w="1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up to 25</w:t>
            </w:r>
          </w:p>
        </w:tc>
        <w:tc>
          <w:tcPr>
            <w:tcW w:type="dxa" w:w="58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Snapshots held ÷ 26 (half a year of weekly readings counts as full depth)</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Source authority</w:t>
            </w:r>
          </w:p>
        </w:tc>
        <w:tc>
          <w:tcPr>
            <w:tcW w:type="dxa" w:w="1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25 / 18 / 8</w:t>
            </w:r>
          </w:p>
        </w:tc>
        <w:tc>
          <w:tcPr>
            <w:tcW w:type="dxa" w:w="58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Authorised account / official platform API / lower tiers</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Observation count</w:t>
            </w:r>
          </w:p>
        </w:tc>
        <w:tc>
          <w:tcPr>
            <w:tcW w:type="dxa" w:w="1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up to 20</w:t>
            </w:r>
          </w:p>
        </w:tc>
        <w:tc>
          <w:tcPr>
            <w:tcW w:type="dxa" w:w="58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log10(1 + content items indexed) × 12</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Stale-data penalty</w:t>
            </w:r>
          </w:p>
        </w:tc>
        <w:tc>
          <w:tcPr>
            <w:tcW w:type="dxa" w:w="1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up to −25</w:t>
            </w:r>
          </w:p>
        </w:tc>
        <w:tc>
          <w:tcPr>
            <w:tcW w:type="dxa" w:w="58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Nothing for 48 hours; then 1.5 points per day since the last successful refresh</w:t>
            </w:r>
          </w:p>
        </w:tc>
      </w:tr>
      <w:tr>
        <w:tc>
          <w:tcPr>
            <w:tcW w:type="dxa" w:w="21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Conflict penalty</w:t>
            </w:r>
          </w:p>
        </w:tc>
        <w:tc>
          <w:tcPr>
            <w:tcW w:type="dxa" w:w="14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up to −20</w:t>
            </w:r>
          </w:p>
        </w:tc>
        <w:tc>
          <w:tcPr>
            <w:tcW w:type="dxa" w:w="58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6 points per fact on which two sources disagree and a review is open</w:t>
            </w:r>
          </w:p>
        </w:tc>
      </w:tr>
    </w:tbl>
    <w:p>
      <w:pPr>
        <w:spacing w:after="120"/>
      </w:pPr>
    </w:p>
    <w:p>
      <w:pPr>
        <w:spacing w:after="120" w:line="300"/>
      </w:pPr>
      <w:r>
        <w:rPr>
          <w:rFonts w:ascii="Calibri" w:cs="Calibri" w:eastAsia="Calibri" w:hAnsi="Calibri"/>
          <w:color w:val="1A0A2E"/>
          <w:sz w:val="22"/>
          <w:szCs w:val="22"/>
        </w:rPr>
        <w:t xml:space="preserve">Every profile also shows its provenance mix — the share of its facts that are verified, observed, derived, estimated or AI-inferred — computed from that profile's actual records, so a creator no model has touched shows no AI share.</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A creator can score 91 on health with 40% confidence. Folding the two together is the most misleading thing a tool in this category can do; today every public-API creator sits in the moderate band, and that is exactly the case this axis exists to expose.</w:t>
      </w:r>
    </w:p>
    <w:p>
      <w:pPr>
        <w:pStyle w:val="Heading1"/>
        <w:spacing w:after="160" w:before="360"/>
      </w:pPr>
      <w:r>
        <w:rPr>
          <w:rFonts w:ascii="Calibri" w:cs="Calibri" w:eastAsia="Calibri" w:hAnsi="Calibri"/>
          <w:b/>
          <w:bCs/>
          <w:color w:val="1A0A2E"/>
          <w:sz w:val="36"/>
          <w:szCs w:val="36"/>
        </w:rPr>
        <w:t xml:space="preserve">9. Campaign fit and campaign performance</w:t>
      </w:r>
    </w:p>
    <w:p>
      <w:pPr>
        <w:pStyle w:val="Heading3"/>
        <w:spacing w:after="80" w:before="200"/>
      </w:pPr>
      <w:r>
        <w:rPr>
          <w:rFonts w:ascii="Calibri" w:cs="Calibri" w:eastAsia="Calibri" w:hAnsi="Calibri"/>
          <w:b/>
          <w:bCs/>
          <w:color w:val="5B2CF0"/>
          <w:sz w:val="24"/>
          <w:szCs w:val="24"/>
        </w:rPr>
        <w:t xml:space="preserve">Campaign fit (fit-1.0.0) — a ranking, not a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200"/>
        <w:gridCol w:w="2960"/>
      </w:tblGrid>
      <w:tr>
        <w:trPr>
          <w:tblHeader/>
        </w:trPr>
        <w:tc>
          <w:tcPr>
            <w:tcW w:type="dxa" w:w="52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Input</w:t>
            </w:r>
          </w:p>
        </w:tc>
        <w:tc>
          <w:tcPr>
            <w:tcW w:type="dxa" w:w="12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Weight</w:t>
            </w:r>
          </w:p>
        </w:tc>
        <w:tc>
          <w:tcPr>
            <w:tcW w:type="dxa" w:w="29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Today</w:t>
            </w:r>
          </w:p>
        </w:tc>
      </w:tr>
      <w:tr>
        <w:tc>
          <w:tcPr>
            <w:tcW w:type="dxa" w:w="5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Category benchmark (the health score)</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0.20</w:t>
            </w:r>
          </w:p>
        </w:tc>
        <w:tc>
          <w:tcPr>
            <w:tcW w:type="dxa" w:w="2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Measured</w:t>
            </w:r>
          </w:p>
        </w:tc>
      </w:tr>
      <w:tr>
        <w:tc>
          <w:tcPr>
            <w:tcW w:type="dxa" w:w="5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Engagement quality</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0.25</w:t>
            </w:r>
          </w:p>
        </w:tc>
        <w:tc>
          <w:tcPr>
            <w:tcW w:type="dxa" w:w="2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Measured</w:t>
            </w:r>
          </w:p>
        </w:tc>
      </w:tr>
      <w:tr>
        <w:tc>
          <w:tcPr>
            <w:tcW w:type="dxa" w:w="5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Audience fit (authenticity)</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0.20</w:t>
            </w:r>
          </w:p>
        </w:tc>
        <w:tc>
          <w:tcPr>
            <w:tcW w:type="dxa" w:w="2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Withheld without audience signals</w:t>
            </w:r>
          </w:p>
        </w:tc>
      </w:tr>
      <w:tr>
        <w:tc>
          <w:tcPr>
            <w:tcW w:type="dxa" w:w="5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Commercial intent (AI: how readily the content accommodates a partnership)</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0.15</w:t>
            </w:r>
          </w:p>
        </w:tc>
        <w:tc>
          <w:tcPr>
            <w:tcW w:type="dxa" w:w="2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After AI classification</w:t>
            </w:r>
          </w:p>
        </w:tc>
      </w:tr>
      <w:tr>
        <w:tc>
          <w:tcPr>
            <w:tcW w:type="dxa" w:w="5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Historical campaign performance</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0.12</w:t>
            </w:r>
          </w:p>
        </w:tc>
        <w:tc>
          <w:tcPr>
            <w:tcW w:type="dxa" w:w="2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Null until a client supplies real outcomes — never guessed</w:t>
            </w:r>
          </w:p>
        </w:tc>
      </w:tr>
      <w:tr>
        <w:tc>
          <w:tcPr>
            <w:tcW w:type="dxa" w:w="5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Cost efficiency</w:t>
            </w:r>
          </w:p>
        </w:tc>
        <w:tc>
          <w:tcPr>
            <w:tcW w:type="dxa" w:w="1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0.08</w:t>
            </w:r>
          </w:p>
        </w:tc>
        <w:tc>
          <w:tcPr>
            <w:tcW w:type="dxa" w:w="29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Null — SENSO holds no rates</w:t>
            </w:r>
          </w:p>
        </w:tc>
      </w:tr>
    </w:tbl>
    <w:p>
      <w:pPr>
        <w:spacing w:after="120"/>
      </w:pPr>
    </w:p>
    <w:p>
      <w:pPr>
        <w:spacing w:after="120" w:line="300"/>
      </w:pPr>
      <w:r>
        <w:rPr>
          <w:rFonts w:ascii="Calibri" w:cs="Calibri" w:eastAsia="Calibri" w:hAnsi="Calibri"/>
          <w:color w:val="1A0A2E"/>
          <w:sz w:val="22"/>
          <w:szCs w:val="22"/>
        </w:rPr>
        <w:t xml:space="preserve">Unmeasurable inputs are dropped and the remaining weights renormalise.</w:t>
      </w:r>
    </w:p>
    <w:p>
      <w:pPr>
        <w:pStyle w:val="Heading3"/>
        <w:spacing w:after="80" w:before="200"/>
      </w:pPr>
      <w:r>
        <w:rPr>
          <w:rFonts w:ascii="Calibri" w:cs="Calibri" w:eastAsia="Calibri" w:hAnsi="Calibri"/>
          <w:b/>
          <w:bCs/>
          <w:color w:val="5B2CF0"/>
          <w:sz w:val="24"/>
          <w:szCs w:val="24"/>
        </w:rPr>
        <w:t xml:space="preserve">Campaign performance (campaign-1.0.0) — separate from health</w:t>
      </w:r>
    </w:p>
    <w:p>
      <w:pPr>
        <w:pStyle w:val="ListParagraph"/>
        <w:numPr>
          <w:ilvl w:val="0"/>
          <w:numId w:val="2"/>
        </w:numPr>
        <w:spacing w:after="60" w:line="280"/>
      </w:pPr>
      <w:r>
        <w:rPr>
          <w:rFonts w:ascii="Calibri" w:cs="Calibri" w:eastAsia="Calibri" w:hAnsi="Calibri"/>
          <w:color w:val="1A0A2E"/>
          <w:sz w:val="22"/>
          <w:szCs w:val="22"/>
        </w:rPr>
        <w:t xml:space="preserve">Score = 0.4 × reach score (log10(1 + views) × 16) + 0.4 × engagement score (engagement rate × 18) + 0.2 × delivery score (posts × 30), each capped at 100.</w:t>
      </w:r>
    </w:p>
    <w:p>
      <w:pPr>
        <w:pStyle w:val="ListParagraph"/>
        <w:numPr>
          <w:ilvl w:val="0"/>
          <w:numId w:val="2"/>
        </w:numPr>
        <w:spacing w:after="60" w:line="280"/>
      </w:pPr>
      <w:r>
        <w:rPr>
          <w:rFonts w:ascii="Calibri" w:cs="Calibri" w:eastAsia="Calibri" w:hAnsi="Calibri"/>
          <w:color w:val="1A0A2E"/>
          <w:sz w:val="22"/>
          <w:szCs w:val="22"/>
        </w:rPr>
        <w:t xml:space="preserve">Per participant: attributed posts, reach, views, likes, comments, shares, engagement rate, cost per engagement (agreed rate ÷ engagements), formula version, computation time. Per campaign: totals, delivery coverage and spend against budget.</w:t>
      </w:r>
    </w:p>
    <w:p>
      <w:pPr>
        <w:spacing w:after="120" w:line="300"/>
      </w:pPr>
      <w:r>
        <w:rPr>
          <w:rFonts w:ascii="Calibri" w:cs="Calibri" w:eastAsia="Calibri" w:hAnsi="Calibri"/>
          <w:b/>
          <w:bCs/>
          <w:color w:val="1A0A2E"/>
          <w:sz w:val="22"/>
          <w:szCs w:val="22"/>
        </w:rPr>
        <w:t xml:space="preserve">Current limitation, stated plainly: </w:t>
      </w:r>
      <w:r>
        <w:rPr>
          <w:rFonts w:ascii="Calibri" w:cs="Calibri" w:eastAsia="Calibri" w:hAnsi="Calibri"/>
          <w:color w:val="1A0A2E"/>
          <w:sz w:val="22"/>
          <w:szCs w:val="22"/>
        </w:rPr>
        <w:t xml:space="preserve">post attribution to the tracking hashtag is not yet read live from the platforms. A participant marked delivered is credited with 3 attributed posts (2 while delivering) at the creator's own measured median views and engagement rate, with engagements split 86% likes, 9% comments, 5% shares, and reach at 1.08 × views. The figures are the creator's real medians applied to an assumed post count, not observed campaign posts. Wiring hashtag reads from the platform APIs replaces the assumption without changing the formula.</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'How did they do for us?' and 'who are they?' are different questions with different evidence, so the two scores carry different formula versions and are never merged.</w:t>
      </w:r>
    </w:p>
    <w:p>
      <w:pPr>
        <w:pStyle w:val="Heading1"/>
        <w:spacing w:after="160" w:before="360"/>
      </w:pPr>
      <w:r>
        <w:rPr>
          <w:rFonts w:ascii="Calibri" w:cs="Calibri" w:eastAsia="Calibri" w:hAnsi="Calibri"/>
          <w:b/>
          <w:bCs/>
          <w:color w:val="1A0A2E"/>
          <w:sz w:val="36"/>
          <w:szCs w:val="36"/>
        </w:rPr>
        <w:t xml:space="preserve">10. Benchmarks, similar creators and AI classification</w:t>
      </w:r>
    </w:p>
    <w:p>
      <w:pPr>
        <w:pStyle w:val="Heading3"/>
        <w:spacing w:after="80" w:before="200"/>
      </w:pPr>
      <w:r>
        <w:rPr>
          <w:rFonts w:ascii="Calibri" w:cs="Calibri" w:eastAsia="Calibri" w:hAnsi="Calibri"/>
          <w:b/>
          <w:bCs/>
          <w:color w:val="5B2CF0"/>
          <w:sz w:val="24"/>
          <w:szCs w:val="24"/>
        </w:rPr>
        <w:t xml:space="preserve">Benchmarks</w:t>
      </w:r>
    </w:p>
    <w:p>
      <w:pPr>
        <w:spacing w:after="120" w:line="300"/>
      </w:pPr>
      <w:r>
        <w:rPr>
          <w:rFonts w:ascii="Calibri" w:cs="Calibri" w:eastAsia="Calibri" w:hAnsi="Calibri"/>
          <w:color w:val="1A0A2E"/>
          <w:sz w:val="22"/>
          <w:szCs w:val="22"/>
        </w:rPr>
        <w:t xml:space="preserve">A cohort is platform × primary category × audience band. For each creator the profile shows engagement rate, views per follower and median views against the cohort median with a percentile — published only when the cohort holds at least eight creators. Cohort medians also normalise the engagement-rate and audience-activity components, so a score is always relative to peers.</w:t>
      </w:r>
    </w:p>
    <w:p>
      <w:pPr>
        <w:pStyle w:val="Heading3"/>
        <w:spacing w:after="80" w:before="200"/>
      </w:pPr>
      <w:r>
        <w:rPr>
          <w:rFonts w:ascii="Calibri" w:cs="Calibri" w:eastAsia="Calibri" w:hAnsi="Calibri"/>
          <w:b/>
          <w:bCs/>
          <w:color w:val="5B2CF0"/>
          <w:sz w:val="24"/>
          <w:szCs w:val="24"/>
        </w:rPr>
        <w:t xml:space="preserve">Similar creators</w:t>
      </w:r>
    </w:p>
    <w:p>
      <w:pPr>
        <w:spacing w:after="120" w:line="300"/>
      </w:pPr>
      <w:r>
        <w:rPr>
          <w:rFonts w:ascii="Calibri" w:cs="Calibri" w:eastAsia="Calibri" w:hAnsi="Calibri"/>
          <w:color w:val="1A0A2E"/>
          <w:sz w:val="22"/>
          <w:szCs w:val="22"/>
        </w:rPr>
        <w:t xml:space="preserve">A deterministic weighted overlap of stored attributes — shared categories, shared themes and keywords (from AI classification where it has run), audience size, country and language — so every match can be explained in a sentence. Not an embedding and not a model call.</w:t>
      </w:r>
    </w:p>
    <w:p>
      <w:pPr>
        <w:pStyle w:val="Heading3"/>
        <w:spacing w:after="80" w:before="200"/>
      </w:pPr>
      <w:r>
        <w:rPr>
          <w:rFonts w:ascii="Calibri" w:cs="Calibri" w:eastAsia="Calibri" w:hAnsi="Calibri"/>
          <w:b/>
          <w:bCs/>
          <w:color w:val="5B2CF0"/>
          <w:sz w:val="24"/>
          <w:szCs w:val="24"/>
        </w:rPr>
        <w:t xml:space="preserve">AI classification — what a model is allowed to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Field</w:t>
            </w:r>
          </w:p>
        </w:tc>
        <w:tc>
          <w:tcPr>
            <w:tcW w:type="dxa" w:w="57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Content</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Creator type</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 short noun phrase, e.g. 'independent hardware reviewer'</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Content themes · creator interests · keywords</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Recurring subjects, evident interests, and terms a buyer would search</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Audience intent</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Why viewers come, in one sentence (or unclear)</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Categories (inferred)</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From the fixed category list, stored apart from observed categories</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Commercial intent (0–100)</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How readily the content accommodates a brand partnership — a judgement about content, not a prediction</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Brand safety (0–100) and safety checks</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Advertiser suitability, with per-check level and note</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Comment quality (0–100)</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Rated from a sample of real comments; 50 when comments are disabled</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Sponsorship signals · previous collaborations</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Observable signs of brand work, each with the wording that indicates it and a source URL</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Mentioned brands and products · brand and competitor affinity · recommended industries</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Named only from the supplied material</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Strengths · risks</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Editorial and brand-fit observations — explicitly not audience fraud</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Evidence</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Up to six claims, each with a source URL from the supplied material and a confidence</w:t>
            </w:r>
          </w:p>
        </w:tc>
      </w:tr>
      <w:tr>
        <w:tc>
          <w:tcPr>
            <w:tcW w:type="dxa" w:w="36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Provenance</w:t>
            </w:r>
          </w:p>
        </w:tc>
        <w:tc>
          <w:tcPr>
            <w:tcW w:type="dxa" w:w="57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Provider, model, prompt version, schema version, generation time — stored with every output</w:t>
            </w:r>
          </w:p>
        </w:tc>
      </w:tr>
    </w:tbl>
    <w:p>
      <w:pPr>
        <w:spacing w:after="120"/>
      </w:pPr>
    </w:p>
    <w:p>
      <w:pPr>
        <w:spacing w:after="120" w:line="300"/>
      </w:pPr>
      <w:r>
        <w:rPr>
          <w:rFonts w:ascii="Calibri" w:cs="Calibri" w:eastAsia="Calibri" w:hAnsi="Calibri"/>
          <w:color w:val="1A0A2E"/>
          <w:sz w:val="22"/>
          <w:szCs w:val="22"/>
        </w:rPr>
        <w:t xml:space="preserve">The schema has no field for follower counts, engagement rates, view counts, demographics, bot percentages or historical metrics, and a test asserts none is ever added. Malformed, refused or truncated replies are rejected, not stored.</w:t>
      </w:r>
    </w:p>
    <w:p>
      <w:pPr>
        <w:pStyle w:val="Heading1"/>
        <w:spacing w:after="160" w:before="360"/>
      </w:pPr>
      <w:r>
        <w:rPr>
          <w:rFonts w:ascii="Calibri" w:cs="Calibri" w:eastAsia="Calibri" w:hAnsi="Calibri"/>
          <w:b/>
          <w:bCs/>
          <w:color w:val="1A0A2E"/>
          <w:sz w:val="36"/>
          <w:szCs w:val="36"/>
        </w:rPr>
        <w:t xml:space="preserve">11. Discovery — filters, sorts and what a result shows</w:t>
      </w:r>
    </w:p>
    <w:p>
      <w:pPr>
        <w:pStyle w:val="Heading3"/>
        <w:spacing w:after="80" w:before="200"/>
      </w:pPr>
      <w:r>
        <w:rPr>
          <w:rFonts w:ascii="Calibri" w:cs="Calibri" w:eastAsia="Calibri" w:hAnsi="Calibri"/>
          <w:b/>
          <w:bCs/>
          <w:color w:val="5B2CF0"/>
          <w:sz w:val="24"/>
          <w:szCs w:val="24"/>
        </w:rPr>
        <w:t xml:space="preserve">Filters (each with a live count against the index)</w:t>
      </w:r>
    </w:p>
    <w:p>
      <w:pPr>
        <w:pStyle w:val="ListParagraph"/>
        <w:numPr>
          <w:ilvl w:val="0"/>
          <w:numId w:val="2"/>
        </w:numPr>
        <w:spacing w:after="60" w:line="280"/>
      </w:pPr>
      <w:r>
        <w:rPr>
          <w:rFonts w:ascii="Calibri" w:cs="Calibri" w:eastAsia="Calibri" w:hAnsi="Calibri"/>
          <w:color w:val="1A0A2E"/>
          <w:sz w:val="22"/>
          <w:szCs w:val="22"/>
        </w:rPr>
        <w:t xml:space="preserve">Keyword (name, handle, category, country, content topic, place mention) · platform · category · country · language · verification state · activity (active, recently active, slowing, dormant) · risk level · audience-size band or a followers range · minimum engagement rate · minimum median views · minimum growth · minimum SENSO Health · minimum authenticity · minimum campaign fit · ROI category.</w:t>
      </w:r>
    </w:p>
    <w:p>
      <w:pPr>
        <w:pStyle w:val="Heading3"/>
        <w:spacing w:after="80" w:before="200"/>
      </w:pPr>
      <w:r>
        <w:rPr>
          <w:rFonts w:ascii="Calibri" w:cs="Calibri" w:eastAsia="Calibri" w:hAnsi="Calibri"/>
          <w:b/>
          <w:bCs/>
          <w:color w:val="5B2CF0"/>
          <w:sz w:val="24"/>
          <w:szCs w:val="24"/>
        </w:rPr>
        <w:t xml:space="preserve">Sort keys</w:t>
      </w:r>
    </w:p>
    <w:p>
      <w:pPr>
        <w:pStyle w:val="ListParagraph"/>
        <w:numPr>
          <w:ilvl w:val="0"/>
          <w:numId w:val="2"/>
        </w:numPr>
        <w:spacing w:after="60" w:line="280"/>
      </w:pPr>
      <w:r>
        <w:rPr>
          <w:rFonts w:ascii="Calibri" w:cs="Calibri" w:eastAsia="Calibri" w:hAnsi="Calibri"/>
          <w:color w:val="1A0A2E"/>
          <w:sz w:val="22"/>
          <w:szCs w:val="22"/>
        </w:rPr>
        <w:t xml:space="preserve">Relevance · SENSO Health · followers (both ways) · engagement · median views · growth · campaign fit · last active.</w:t>
      </w:r>
    </w:p>
    <w:p>
      <w:pPr>
        <w:pStyle w:val="Heading3"/>
        <w:spacing w:after="80" w:before="200"/>
      </w:pPr>
      <w:r>
        <w:rPr>
          <w:rFonts w:ascii="Calibri" w:cs="Calibri" w:eastAsia="Calibri" w:hAnsi="Calibri"/>
          <w:b/>
          <w:bCs/>
          <w:color w:val="5B2CF0"/>
          <w:sz w:val="24"/>
          <w:szCs w:val="24"/>
        </w:rPr>
        <w:t xml:space="preserve">Each result carries</w:t>
      </w:r>
    </w:p>
    <w:p>
      <w:pPr>
        <w:pStyle w:val="ListParagraph"/>
        <w:numPr>
          <w:ilvl w:val="0"/>
          <w:numId w:val="2"/>
        </w:numPr>
        <w:spacing w:after="60" w:line="280"/>
      </w:pPr>
      <w:r>
        <w:rPr>
          <w:rFonts w:ascii="Calibri" w:cs="Calibri" w:eastAsia="Calibri" w:hAnsi="Calibri"/>
          <w:color w:val="1A0A2E"/>
          <w:sz w:val="22"/>
          <w:szCs w:val="22"/>
        </w:rPr>
        <w:t xml:space="preserve">Avatar, name, handle, platforms, verification, followers, median views, engagement rate, SENSO Health, campaign fit, risk level, categories, country, place mentions, languages, activity, last active date, data confidence, and a demo-record badge where applicable.</w:t>
      </w:r>
    </w:p>
    <w:p>
      <w:pPr>
        <w:pStyle w:val="Heading3"/>
        <w:spacing w:after="80" w:before="200"/>
      </w:pPr>
      <w:r>
        <w:rPr>
          <w:rFonts w:ascii="Calibri" w:cs="Calibri" w:eastAsia="Calibri" w:hAnsi="Calibri"/>
          <w:b/>
          <w:bCs/>
          <w:color w:val="5B2CF0"/>
          <w:sz w:val="24"/>
          <w:szCs w:val="24"/>
        </w:rPr>
        <w:t xml:space="preserve">The creator profile</w:t>
      </w:r>
    </w:p>
    <w:p>
      <w:pPr>
        <w:pStyle w:val="ListParagraph"/>
        <w:numPr>
          <w:ilvl w:val="0"/>
          <w:numId w:val="2"/>
        </w:numPr>
        <w:spacing w:after="60" w:line="280"/>
      </w:pPr>
      <w:r>
        <w:rPr>
          <w:rFonts w:ascii="Calibri" w:cs="Calibri" w:eastAsia="Calibri" w:hAnsi="Calibri"/>
          <w:color w:val="1A0A2E"/>
          <w:sz w:val="22"/>
          <w:szCs w:val="22"/>
        </w:rPr>
        <w:t xml:space="preserve">Score card (SENSO Health with band and coverage), engagement card, component chart with a components/uploads toggle, similar creators, follower figure and history curve or the building-history state, data confidence with source mix; then tabs — Overview, Growth, Audience, Content, Authenticity, Benchmarks.</w:t>
      </w:r>
    </w:p>
    <w:p>
      <w:pPr>
        <w:pStyle w:val="ListParagraph"/>
        <w:numPr>
          <w:ilvl w:val="0"/>
          <w:numId w:val="2"/>
        </w:numPr>
        <w:spacing w:after="60" w:line="280"/>
      </w:pPr>
      <w:r>
        <w:rPr>
          <w:rFonts w:ascii="Calibri" w:cs="Calibri" w:eastAsia="Calibri" w:hAnsi="Calibri"/>
          <w:color w:val="1A0A2E"/>
          <w:sz w:val="22"/>
          <w:szCs w:val="22"/>
        </w:rPr>
        <w:t xml:space="preserve">Glance figures: followers, total views, content count, median and average views, views and followers gained over a window, upload frequency, average content length, engagement rate, estimated monthly earnings and reach; cost efficiency (CPM, CPE, CPV, placement rate) as modelled bands; top and recent content with per-item views, likes, comments and hashtags.</w:t>
      </w:r>
    </w:p>
    <w:p>
      <w:pPr>
        <w:pStyle w:val="ListParagraph"/>
        <w:numPr>
          <w:ilvl w:val="0"/>
          <w:numId w:val="2"/>
        </w:numPr>
        <w:spacing w:after="60" w:line="280"/>
      </w:pPr>
      <w:r>
        <w:rPr>
          <w:rFonts w:ascii="Calibri" w:cs="Calibri" w:eastAsia="Calibri" w:hAnsi="Calibri"/>
          <w:color w:val="1A0A2E"/>
          <w:sz w:val="22"/>
          <w:szCs w:val="22"/>
        </w:rPr>
        <w:t xml:space="preserve">Every figure opens its provenance: method, source tier and rank, collection time, derivation, model and prompt version where AI was involved, and the field's confidence.</w:t>
      </w:r>
    </w:p>
    <w:p>
      <w:r>
        <w:br w:type="page"/>
      </w:r>
    </w:p>
    <w:p>
      <w:pPr>
        <w:pStyle w:val="Heading1"/>
        <w:spacing w:after="160" w:before="360"/>
      </w:pPr>
      <w:r>
        <w:rPr>
          <w:rFonts w:ascii="Calibri" w:cs="Calibri" w:eastAsia="Calibri" w:hAnsi="Calibri"/>
          <w:b/>
          <w:bCs/>
          <w:color w:val="1A0A2E"/>
          <w:sz w:val="36"/>
          <w:szCs w:val="36"/>
        </w:rPr>
        <w:t xml:space="preserve">12. Operations and production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Capability</w:t>
            </w:r>
          </w:p>
        </w:tc>
        <w:tc>
          <w:tcPr>
            <w:tcW w:type="dxa" w:w="42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What exists</w:t>
            </w:r>
          </w:p>
        </w:tc>
        <w:tc>
          <w:tcPr>
            <w:tcW w:type="dxa" w:w="33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Why</w:t>
            </w:r>
          </w:p>
        </w:tc>
      </w:tr>
      <w:tr>
        <w:tc>
          <w:tcPr>
            <w:tcW w:type="dxa" w:w="1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Deploys</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 git tag exported with git archive, built on the server, PM2 reload; refuses a dirty working tree; DEPLOY_SHA recorded</w:t>
            </w:r>
          </w:p>
        </w:tc>
        <w:tc>
          <w:tcPr>
            <w:tcW w:type="dxa" w:w="33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What runs in production is always a commit that CI has seen</w:t>
            </w:r>
          </w:p>
        </w:tc>
      </w:tr>
      <w:tr>
        <w:tc>
          <w:tcPr>
            <w:tcW w:type="dxa" w:w="1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Staging</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 twin on the same VPS with its own database restored from the newest backup, no daily jobs, no outbound mail</w:t>
            </w:r>
          </w:p>
        </w:tc>
        <w:tc>
          <w:tcPr>
            <w:tcW w:type="dxa" w:w="33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Every release is exercised on staging before production</w:t>
            </w:r>
          </w:p>
        </w:tc>
      </w:tr>
      <w:tr>
        <w:tc>
          <w:tcPr>
            <w:tcW w:type="dxa" w:w="1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CI</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GitHub Actions on every push: types, lint, unit tests, production build, full Playwright suite on a committed 150-creator slice of the real database</w:t>
            </w:r>
          </w:p>
        </w:tc>
        <w:tc>
          <w:tcPr>
            <w:tcW w:type="dxa" w:w="33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The suite caught a real 12 px overflow on Linux font metrics that macOS never showed</w:t>
            </w:r>
          </w:p>
        </w:tc>
      </w:tr>
      <w:tr>
        <w:tc>
          <w:tcPr>
            <w:tcW w:type="dxa" w:w="1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Backups</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Nightly pg_dump, 30 kept, restore drill script; off-box copy by a laptop pull script or an rclone remote</w:t>
            </w:r>
          </w:p>
        </w:tc>
        <w:tc>
          <w:tcPr>
            <w:tcW w:type="dxa" w:w="33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 restore was proven the day backups were added: 8,678 creators, 20 workspace rows</w:t>
            </w:r>
          </w:p>
        </w:tc>
      </w:tr>
      <w:tr>
        <w:tc>
          <w:tcPr>
            <w:tcW w:type="dxa" w:w="1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Health and alerts</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/api/internal/health with memory and creator count; a five-minute on-box check that restarts PM2 after two failures and posts to Slack; an external probe from GitHub every five minutes; unhandled server errors posted to Slack, one per distinct error per ten minutes</w:t>
            </w:r>
          </w:p>
        </w:tc>
        <w:tc>
          <w:tcPr>
            <w:tcW w:type="dxa" w:w="33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The on-box check cannot see the box itself die; the external one can</w:t>
            </w:r>
          </w:p>
        </w:tc>
      </w:tr>
      <w:tr>
        <w:tc>
          <w:tcPr>
            <w:tcW w:type="dxa" w:w="1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Capacity</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4 GB heap, PM2 memory guard, a daily Slack warning past 3 GB or 25k creators</w:t>
            </w:r>
          </w:p>
        </w:tc>
        <w:tc>
          <w:tcPr>
            <w:tcW w:type="dxa" w:w="33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Measured 110 MB per thousand creators; the warning is the trigger for the SQL read path</w:t>
            </w:r>
          </w:p>
        </w:tc>
      </w:tr>
      <w:tr>
        <w:tc>
          <w:tcPr>
            <w:tcW w:type="dxa" w:w="1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Security</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CSP, HSTS, frame denial, referrer and permissions policies; hashed API keys; signed sessions; rate limits on auth, search and the API; secrets only in the server environment</w:t>
            </w:r>
          </w:p>
        </w:tc>
        <w:tc>
          <w:tcPr>
            <w:tcW w:type="dxa" w:w="33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Headers travel with the app rather than with the host</w:t>
            </w:r>
          </w:p>
        </w:tc>
      </w:tr>
      <w:tr>
        <w:tc>
          <w:tcPr>
            <w:tcW w:type="dxa" w:w="1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Log rotation</w:t>
            </w:r>
          </w:p>
        </w:tc>
        <w:tc>
          <w:tcPr>
            <w:tcW w:type="dxa" w:w="42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PM2 log rotation, 20 MB × 14, compressed</w:t>
            </w:r>
          </w:p>
        </w:tc>
        <w:tc>
          <w:tcPr>
            <w:tcW w:type="dxa" w:w="33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Bounded disk for a chatty week</w:t>
            </w:r>
          </w:p>
        </w:tc>
      </w:tr>
    </w:tbl>
    <w:p>
      <w:pPr>
        <w:spacing w:after="120"/>
      </w:pPr>
    </w:p>
    <w:p>
      <w:pPr>
        <w:pStyle w:val="Heading1"/>
        <w:spacing w:after="160" w:before="360"/>
      </w:pPr>
      <w:r>
        <w:rPr>
          <w:rFonts w:ascii="Calibri" w:cs="Calibri" w:eastAsia="Calibri" w:hAnsi="Calibri"/>
          <w:b/>
          <w:bCs/>
          <w:color w:val="1A0A2E"/>
          <w:sz w:val="36"/>
          <w:szCs w:val="36"/>
        </w:rPr>
        <w:t xml:space="preserve">13. What the data does and does not hold</w:t>
      </w:r>
    </w:p>
    <w:p>
      <w:pPr>
        <w:spacing w:after="120" w:line="300"/>
      </w:pPr>
      <w:r>
        <w:rPr>
          <w:rFonts w:ascii="Calibri" w:cs="Calibri" w:eastAsia="Calibri" w:hAnsi="Calibri"/>
          <w:color w:val="1A0A2E"/>
          <w:sz w:val="22"/>
          <w:szCs w:val="22"/>
        </w:rPr>
        <w:t xml:space="preserve">A data coverage statement for client agreements lives in docs/DATA_COVERAGE.md. In summary, as of 20 September 2026:</w:t>
      </w:r>
    </w:p>
    <w:p>
      <w:pPr>
        <w:pStyle w:val="ListParagraph"/>
        <w:numPr>
          <w:ilvl w:val="0"/>
          <w:numId w:val="2"/>
        </w:numPr>
        <w:spacing w:after="60" w:line="280"/>
      </w:pPr>
      <w:r>
        <w:rPr>
          <w:rFonts w:ascii="Calibri" w:cs="Calibri" w:eastAsia="Calibri" w:hAnsi="Calibri"/>
          <w:color w:val="1A0A2E"/>
          <w:sz w:val="22"/>
          <w:szCs w:val="22"/>
        </w:rPr>
        <w:t xml:space="preserve">8,678 creators (7,472 YouTube, 1,206 Instagram); 425,074 content items; 33,217 daily snapshots across 30 days since 3 June 2026; 84 countries, 2,812 creators in India; 551 creators with an AI classification.</w:t>
      </w:r>
    </w:p>
    <w:p>
      <w:pPr>
        <w:pStyle w:val="ListParagraph"/>
        <w:numPr>
          <w:ilvl w:val="0"/>
          <w:numId w:val="2"/>
        </w:numPr>
        <w:spacing w:after="60" w:line="280"/>
      </w:pPr>
      <w:r>
        <w:rPr>
          <w:rFonts w:ascii="Calibri" w:cs="Calibri" w:eastAsia="Calibri" w:hAnsi="Calibri"/>
          <w:color w:val="1A0A2E"/>
          <w:sz w:val="22"/>
          <w:szCs w:val="22"/>
        </w:rPr>
        <w:t xml:space="preserve">No creator is OAuth-verified. Audience demographics and audience-quality signals are held only for creators who authorise access — currently none — so risk is shown as 'not assessed', never as 'low'.</w:t>
      </w:r>
    </w:p>
    <w:p>
      <w:pPr>
        <w:pStyle w:val="ListParagraph"/>
        <w:numPr>
          <w:ilvl w:val="0"/>
          <w:numId w:val="2"/>
        </w:numPr>
        <w:spacing w:after="60" w:line="280"/>
      </w:pPr>
      <w:r>
        <w:rPr>
          <w:rFonts w:ascii="Calibri" w:cs="Calibri" w:eastAsia="Calibri" w:hAnsi="Calibri"/>
          <w:color w:val="1A0A2E"/>
          <w:sz w:val="22"/>
          <w:szCs w:val="22"/>
        </w:rPr>
        <w:t xml:space="preserve">Instagram returns current figures only; history accumulates from the day a creator is indexed. Percentiles are published only for cohorts of eight or more; trends only from sufficient snapshots.</w:t>
      </w:r>
    </w:p>
    <w:p>
      <w:pPr>
        <w:pStyle w:val="ListParagraph"/>
        <w:numPr>
          <w:ilvl w:val="0"/>
          <w:numId w:val="2"/>
        </w:numPr>
        <w:spacing w:after="60" w:line="280"/>
      </w:pPr>
      <w:r>
        <w:rPr>
          <w:rFonts w:ascii="Calibri" w:cs="Calibri" w:eastAsia="Calibri" w:hAnsi="Calibri"/>
          <w:color w:val="1A0A2E"/>
          <w:sz w:val="22"/>
          <w:szCs w:val="22"/>
        </w:rPr>
        <w:t xml:space="preserve">Four fictional creators (badged 'Demo record', excluded from every benchmark) remain in the shared index to exercise the parts of the interface public data cannot fill; they can be removed in one operation.</w:t>
      </w:r>
    </w:p>
    <w:p>
      <w:pPr>
        <w:pBdr>
          <w:left w:val="single" w:color="5B2CF0" w:sz="12" w:space="8"/>
        </w:pBdr>
        <w:spacing w:after="160" w:line="280"/>
        <w:ind w:left="360"/>
      </w:pPr>
      <w:r>
        <w:rPr>
          <w:rFonts w:ascii="Calibri" w:cs="Calibri" w:eastAsia="Calibri" w:hAnsi="Calibri"/>
          <w:b/>
          <w:bCs/>
          <w:color w:val="5B2CF0"/>
          <w:sz w:val="21"/>
          <w:szCs w:val="21"/>
        </w:rPr>
        <w:t xml:space="preserve">Why: </w:t>
      </w:r>
      <w:r>
        <w:rPr>
          <w:rFonts w:ascii="Calibri" w:cs="Calibri" w:eastAsia="Calibri" w:hAnsi="Calibri"/>
          <w:color w:val="4B4458"/>
          <w:sz w:val="21"/>
          <w:szCs w:val="21"/>
        </w:rPr>
        <w:t xml:space="preserve">On a product whose pitch is that its numbers are checkable, stating the gaps is the feature. Estimated and inferred values are labelled as such and never shown as verified.</w:t>
      </w:r>
    </w:p>
    <w:p>
      <w:pPr>
        <w:pStyle w:val="Heading1"/>
        <w:spacing w:after="160" w:before="360"/>
      </w:pPr>
      <w:r>
        <w:rPr>
          <w:rFonts w:ascii="Calibri" w:cs="Calibri" w:eastAsia="Calibri" w:hAnsi="Calibri"/>
          <w:b/>
          <w:bCs/>
          <w:color w:val="1A0A2E"/>
          <w:sz w:val="36"/>
          <w:szCs w:val="36"/>
        </w:rPr>
        <w:t xml:space="preserve">14. Deliberately deferred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Item</w:t>
            </w:r>
          </w:p>
        </w:tc>
        <w:tc>
          <w:tcPr>
            <w:tcW w:type="dxa" w:w="55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Why not yet</w:t>
            </w:r>
          </w:p>
        </w:tc>
      </w:tr>
      <w:tr>
        <w:tc>
          <w:tcPr>
            <w:tcW w:type="dxa" w:w="3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Consumer Intelligence engine</w:t>
            </w:r>
          </w:p>
        </w:tc>
        <w:tc>
          <w:tcPr>
            <w:tcW w:type="dxa" w:w="5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Neither source document defines a data source for it</w:t>
            </w:r>
          </w:p>
        </w:tc>
      </w:tr>
      <w:tr>
        <w:tc>
          <w:tcPr>
            <w:tcW w:type="dxa" w:w="3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TikTok connector, AI rate negotiation, payments, contracts, CRM, white-label beyond a logo</w:t>
            </w:r>
          </w:p>
        </w:tc>
        <w:tc>
          <w:tcPr>
            <w:tcW w:type="dxa" w:w="5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Roadmap items in the blueprint; SENSO holds no creator rates and no client's money yet</w:t>
            </w:r>
          </w:p>
        </w:tc>
      </w:tr>
      <w:tr>
        <w:tc>
          <w:tcPr>
            <w:tcW w:type="dxa" w:w="3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Payment provider and self-serve plan changes</w:t>
            </w:r>
          </w:p>
        </w:tc>
        <w:tc>
          <w:tcPr>
            <w:tcW w:type="dxa" w:w="5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Plan model and metering exist; the first clients are invoiced by hand</w:t>
            </w:r>
          </w:p>
        </w:tc>
      </w:tr>
      <w:tr>
        <w:tc>
          <w:tcPr>
            <w:tcW w:type="dxa" w:w="3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Background workers and queues (Redis, BullMQ)</w:t>
            </w:r>
          </w:p>
        </w:tc>
        <w:tc>
          <w:tcPr>
            <w:tcW w:type="dxa" w:w="5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The job boundary exists; one process on one box is enough until it is not</w:t>
            </w:r>
          </w:p>
        </w:tc>
      </w:tr>
      <w:tr>
        <w:tc>
          <w:tcPr>
            <w:tcW w:type="dxa" w:w="3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SQL-backed reads</w:t>
            </w:r>
          </w:p>
        </w:tc>
        <w:tc>
          <w:tcPr>
            <w:tcW w:type="dxa" w:w="5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Every read is a synchronous function over rows in memory; the capacity warning names the moment to change that</w:t>
            </w:r>
          </w:p>
        </w:tc>
      </w:tr>
      <w:tr>
        <w:tc>
          <w:tcPr>
            <w:tcW w:type="dxa" w:w="3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Report archive and scheduled generation</w:t>
            </w:r>
          </w:p>
        </w:tc>
        <w:tc>
          <w:tcPr>
            <w:tcW w:type="dxa" w:w="5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Exports download immediately; an archive is a store nobody has asked for</w:t>
            </w:r>
          </w:p>
        </w:tc>
      </w:tr>
      <w:tr>
        <w:tc>
          <w:tcPr>
            <w:tcW w:type="dxa" w:w="38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Semantic search</w:t>
            </w:r>
          </w:p>
        </w:tc>
        <w:tc>
          <w:tcPr>
            <w:tcW w:type="dxa" w:w="55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The blueprint says add it only when scale demands</w:t>
            </w:r>
          </w:p>
        </w:tc>
      </w:tr>
    </w:tbl>
    <w:p>
      <w:pPr>
        <w:spacing w:after="120"/>
      </w:pPr>
    </w:p>
    <w:p>
      <w:pPr>
        <w:pStyle w:val="Heading1"/>
        <w:spacing w:after="160" w:before="360"/>
      </w:pPr>
      <w:r>
        <w:rPr>
          <w:rFonts w:ascii="Calibri" w:cs="Calibri" w:eastAsia="Calibri" w:hAnsi="Calibri"/>
          <w:b/>
          <w:bCs/>
          <w:color w:val="1A0A2E"/>
          <w:sz w:val="36"/>
          <w:szCs w:val="36"/>
        </w:rPr>
        <w:t xml:space="preserve">15. Open items at hand-over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Item</w:t>
            </w:r>
          </w:p>
        </w:tc>
        <w:tc>
          <w:tcPr>
            <w:tcW w:type="dxa" w:w="400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Status</w:t>
            </w:r>
          </w:p>
        </w:tc>
        <w:tc>
          <w:tcPr>
            <w:tcW w:type="dxa" w:w="3360"/>
            <w:tcBorders>
              <w:top w:val="single" w:color="E4E1EA" w:sz="4"/>
              <w:left w:val="none" w:color="FFFFFF" w:sz="0"/>
              <w:bottom w:val="single" w:color="E4E1EA" w:sz="4"/>
              <w:right w:val="none" w:color="FFFFFF" w:sz="0"/>
            </w:tcBorders>
            <w:shd w:fill="F3F2F6" w:color="auto" w:val="clear"/>
            <w:tcMar>
              <w:top w:type="dxa" w:w="80"/>
              <w:left w:type="dxa" w:w="120"/>
              <w:bottom w:type="dxa" w:w="80"/>
              <w:right w:type="dxa" w:w="120"/>
            </w:tcMar>
          </w:tcPr>
          <w:p>
            <w:pPr>
              <w:spacing w:after="0" w:line="260"/>
            </w:pPr>
            <w:r>
              <w:rPr>
                <w:rFonts w:ascii="Calibri" w:cs="Calibri" w:eastAsia="Calibri" w:hAnsi="Calibri"/>
                <w:b/>
                <w:bCs/>
                <w:color w:val="1A0A2E"/>
                <w:sz w:val="20"/>
                <w:szCs w:val="20"/>
              </w:rPr>
              <w:t xml:space="preserve">Effect until done</w:t>
            </w:r>
          </w:p>
        </w:tc>
      </w:tr>
      <w:tr>
        <w:tc>
          <w:tcPr>
            <w:tcW w:type="dxa" w:w="2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OpenAI API key</w:t>
            </w:r>
          </w:p>
        </w:tc>
        <w:tc>
          <w:tcPr>
            <w:tcW w:type="dxa" w:w="4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The configured key was revoked on OpenAI's side (invalid_api_key, not a billing limit). A new key is needed.</w:t>
            </w:r>
          </w:p>
        </w:tc>
        <w:tc>
          <w:tcPr>
            <w:tcW w:type="dxa" w:w="33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Profiles say 'no model has classified this creator'; the enrichment runner is ready</w:t>
            </w:r>
          </w:p>
        </w:tc>
      </w:tr>
      <w:tr>
        <w:tc>
          <w:tcPr>
            <w:tcW w:type="dxa" w:w="2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Outbound mail sender</w:t>
            </w:r>
          </w:p>
        </w:tc>
        <w:tc>
          <w:tcPr>
            <w:tcW w:type="dxa" w:w="4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EMAIL_FROM is Resend's sandbox sender; the domain is not verified in Resend.</w:t>
            </w:r>
          </w:p>
        </w:tc>
        <w:tc>
          <w:tcPr>
            <w:tcW w:type="dxa" w:w="33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Invites, reset links and digests do not reach clients; passwords are handed over by hand</w:t>
            </w:r>
          </w:p>
        </w:tc>
      </w:tr>
      <w:tr>
        <w:tc>
          <w:tcPr>
            <w:tcW w:type="dxa" w:w="2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Demo records</w:t>
            </w:r>
          </w:p>
        </w:tc>
        <w:tc>
          <w:tcPr>
            <w:tcW w:type="dxa" w:w="4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Four fictional creators remain in the shared index.</w:t>
            </w:r>
          </w:p>
        </w:tc>
        <w:tc>
          <w:tcPr>
            <w:tcW w:type="dxa" w:w="33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 client can find a badged fictional 'verified' creator in search</w:t>
            </w:r>
          </w:p>
        </w:tc>
      </w:tr>
      <w:tr>
        <w:tc>
          <w:tcPr>
            <w:tcW w:type="dxa" w:w="2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Super admin password</w:t>
            </w:r>
          </w:p>
        </w:tc>
        <w:tc>
          <w:tcPr>
            <w:tcW w:type="dxa" w:w="4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Rotated; stored root-only on the server.</w:t>
            </w:r>
          </w:p>
        </w:tc>
        <w:tc>
          <w:tcPr>
            <w:tcW w:type="dxa" w:w="33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Move to a password manager and delete the file</w:t>
            </w:r>
          </w:p>
        </w:tc>
      </w:tr>
      <w:tr>
        <w:tc>
          <w:tcPr>
            <w:tcW w:type="dxa" w:w="2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Repository visibility</w:t>
            </w:r>
          </w:p>
        </w:tc>
        <w:tc>
          <w:tcPr>
            <w:tcW w:type="dxa" w:w="4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The GitHub repository is public.</w:t>
            </w:r>
          </w:p>
        </w:tc>
        <w:tc>
          <w:tcPr>
            <w:tcW w:type="dxa" w:w="33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No secrets in it, but deploy scripts and the server address are readable</w:t>
            </w:r>
          </w:p>
        </w:tc>
      </w:tr>
      <w:tr>
        <w:tc>
          <w:tcPr>
            <w:tcW w:type="dxa" w:w="2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External uptime</w:t>
            </w:r>
          </w:p>
        </w:tc>
        <w:tc>
          <w:tcPr>
            <w:tcW w:type="dxa" w:w="400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A GitHub-scheduled probe exists.</w:t>
            </w:r>
          </w:p>
        </w:tc>
        <w:tc>
          <w:tcPr>
            <w:tcW w:type="dxa" w:w="3360"/>
            <w:tcBorders>
              <w:top w:val="single" w:color="E4E1EA" w:sz="4"/>
              <w:left w:val="none" w:color="FFFFFF" w:sz="0"/>
              <w:bottom w:val="single" w:color="E4E1EA" w:sz="4"/>
              <w:right w:val="none" w:color="FFFFFF" w:sz="0"/>
            </w:tcBorders>
            <w:tcMar>
              <w:top w:type="dxa" w:w="80"/>
              <w:left w:type="dxa" w:w="120"/>
              <w:bottom w:type="dxa" w:w="80"/>
              <w:right w:type="dxa" w:w="120"/>
            </w:tcMar>
          </w:tcPr>
          <w:p>
            <w:pPr>
              <w:spacing w:after="0" w:line="260"/>
            </w:pPr>
            <w:r>
              <w:rPr>
                <w:rFonts w:ascii="Calibri" w:cs="Calibri" w:eastAsia="Calibri" w:hAnsi="Calibri"/>
                <w:b w:val="false"/>
                <w:bCs w:val="false"/>
                <w:color w:val="4B4458"/>
                <w:sz w:val="20"/>
                <w:szCs w:val="20"/>
              </w:rPr>
              <w:t xml:space="preserve">GitHub pauses schedules after 60 days without a push; a dedicated monitor is still worth adding</w:t>
            </w:r>
          </w:p>
        </w:tc>
      </w:tr>
    </w:tbl>
    <w:p>
      <w:pPr>
        <w:spacing w:after="120"/>
      </w:pPr>
    </w:p>
    <w:p>
      <w:pPr>
        <w:spacing w:after="120" w:line="300"/>
      </w:pPr>
      <w:r>
        <w:rPr>
          <w:rFonts w:ascii="Calibri" w:cs="Calibri" w:eastAsia="Calibri" w:hAnsi="Calibri"/>
          <w:i/>
          <w:iCs/>
          <w:color w:val="4B4458"/>
          <w:sz w:val="22"/>
          <w:szCs w:val="22"/>
        </w:rPr>
        <w:t xml:space="preserve">Every decision above is recorded, with its reasoning, as D1–D43 in CLAUDE.md in the repository, which remains the authoritative record.</w:t>
      </w:r>
    </w:p>
    <w:sectPr>
      <w:headerReference w:type="default" r:id="rId7"/>
      <w:footerReference w:type="default" r:id="rId8"/>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399"/>
        <w:sz w:val="18"/>
        <w:szCs w:val="18"/>
      </w:rPr>
      <w:t xml:space="preserve">Page </w:t>
    </w:r>
    <w:r>
      <w:rPr>
        <w:rFonts w:ascii="Calibri" w:cs="Calibri" w:eastAsia="Calibri" w:hAnsi="Calibri"/>
        <w:color w:val="8A83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A8399"/>
        <w:sz w:val="18"/>
        <w:szCs w:val="18"/>
      </w:rPr>
      <w:t xml:space="preserve">SENSO · Features and rationale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B2CF0"/>
      </w:r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0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A0A2E"/>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A0A2E"/>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5B2CF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 — Features and rationale</dc:title>
  <dc:creator>SENSO</dc:creator>
  <cp:lastModifiedBy>Un-named</cp:lastModifiedBy>
  <cp:revision>1</cp:revision>
  <dcterms:created xsi:type="dcterms:W3CDTF">2026-09-21T17:34:10.904Z</dcterms:created>
  <dcterms:modified xsi:type="dcterms:W3CDTF">2026-09-21T17:34:10.906Z</dcterms:modified>
</cp:coreProperties>
</file>

<file path=docProps/custom.xml><?xml version="1.0" encoding="utf-8"?>
<Properties xmlns="http://schemas.openxmlformats.org/officeDocument/2006/custom-properties" xmlns:vt="http://schemas.openxmlformats.org/officeDocument/2006/docPropsVTypes"/>
</file>