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Department of Computer Science and Engineering</w:t>
      </w:r>
    </w:p>
    <w:p>
      <w:pPr>
        <w:jc w:val="center"/>
      </w:pPr>
      <w:r>
        <w:t>HTML website design and implementation report</w:t>
      </w:r>
    </w:p>
    <w:p>
      <w:r>
        <w:t>This report describes the Department of Computer Science and Engineering website for the Federal Institute of Science and Technology (FISAT). The simple page uses semantic HTML, responsive CSS, a custom department emblem, and a sample enquiry form. The official FISAT website and department contact links are included; the faculty entries remain examples and should be replaced with current approved details before publication.</w:t>
      </w:r>
    </w:p>
    <w:p>
      <w:pPr>
        <w:pStyle w:val="Heading1"/>
      </w:pPr>
      <w:r>
        <w:t>1. HTML document structure</w:t>
      </w:r>
    </w:p>
    <w:p>
      <w:r>
        <w:t>A browser reads an HTML document as a tree of elements. The opening lines identify the document type and language; the head stores page information; and the body contains the content that visitors see and use.</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60"/>
            </w:pPr>
            <w:r>
              <w:rPr>
                <w:rFonts w:ascii="Aptos" w:hAnsi="Aptos"/>
                <w:sz w:val="18"/>
              </w:rPr>
              <w:t>Element</w:t>
            </w:r>
          </w:p>
        </w:tc>
        <w:tc>
          <w:tcPr>
            <w:tcW w:type="dxa" w:w="4997"/>
            <w:vAlign w:val="center"/>
          </w:tcPr>
          <w:p>
            <w:pPr>
              <w:spacing w:after="60"/>
            </w:pPr>
            <w:r>
              <w:rPr>
                <w:rFonts w:ascii="Aptos" w:hAnsi="Aptos"/>
                <w:sz w:val="18"/>
              </w:rPr>
              <w:t>Purpose</w:t>
            </w:r>
          </w:p>
        </w:tc>
      </w:tr>
      <w:tr>
        <w:tc>
          <w:tcPr>
            <w:tcW w:type="dxa" w:w="4997"/>
            <w:vAlign w:val="center"/>
          </w:tcPr>
          <w:p>
            <w:pPr>
              <w:spacing w:after="60"/>
            </w:pPr>
            <w:r>
              <w:rPr>
                <w:rFonts w:ascii="Aptos" w:hAnsi="Aptos"/>
                <w:sz w:val="18"/>
              </w:rPr>
              <w:t>&lt;!DOCTYPE html&gt;</w:t>
            </w:r>
          </w:p>
        </w:tc>
        <w:tc>
          <w:tcPr>
            <w:tcW w:type="dxa" w:w="4997"/>
            <w:vAlign w:val="center"/>
          </w:tcPr>
          <w:p>
            <w:pPr>
              <w:spacing w:after="60"/>
            </w:pPr>
            <w:r>
              <w:rPr>
                <w:rFonts w:ascii="Aptos" w:hAnsi="Aptos"/>
                <w:sz w:val="18"/>
              </w:rPr>
              <w:t>Declares the document as HTML5 so the browser uses modern standards mode.</w:t>
            </w:r>
          </w:p>
        </w:tc>
      </w:tr>
      <w:tr>
        <w:tc>
          <w:tcPr>
            <w:tcW w:type="dxa" w:w="4997"/>
            <w:vAlign w:val="center"/>
          </w:tcPr>
          <w:p>
            <w:pPr>
              <w:spacing w:after="60"/>
            </w:pPr>
            <w:r>
              <w:rPr>
                <w:rFonts w:ascii="Aptos" w:hAnsi="Aptos"/>
                <w:sz w:val="18"/>
              </w:rPr>
              <w:t>&lt;html lang="en"&gt;</w:t>
            </w:r>
          </w:p>
        </w:tc>
        <w:tc>
          <w:tcPr>
            <w:tcW w:type="dxa" w:w="4997"/>
            <w:vAlign w:val="center"/>
          </w:tcPr>
          <w:p>
            <w:pPr>
              <w:spacing w:after="60"/>
            </w:pPr>
            <w:r>
              <w:rPr>
                <w:rFonts w:ascii="Aptos" w:hAnsi="Aptos"/>
                <w:sz w:val="18"/>
              </w:rPr>
              <w:t>Root element containing the full page. The language attribute helps assistive technologies and search tools.</w:t>
            </w:r>
          </w:p>
        </w:tc>
      </w:tr>
      <w:tr>
        <w:tc>
          <w:tcPr>
            <w:tcW w:type="dxa" w:w="4997"/>
            <w:vAlign w:val="center"/>
          </w:tcPr>
          <w:p>
            <w:pPr>
              <w:spacing w:after="60"/>
            </w:pPr>
            <w:r>
              <w:rPr>
                <w:rFonts w:ascii="Aptos" w:hAnsi="Aptos"/>
                <w:sz w:val="18"/>
              </w:rPr>
              <w:t>&lt;head&gt;</w:t>
            </w:r>
          </w:p>
        </w:tc>
        <w:tc>
          <w:tcPr>
            <w:tcW w:type="dxa" w:w="4997"/>
            <w:vAlign w:val="center"/>
          </w:tcPr>
          <w:p>
            <w:pPr>
              <w:spacing w:after="60"/>
            </w:pPr>
            <w:r>
              <w:rPr>
                <w:rFonts w:ascii="Aptos" w:hAnsi="Aptos"/>
                <w:sz w:val="18"/>
              </w:rPr>
              <w:t>Holds metadata and resources that are not the main visible page content.</w:t>
            </w:r>
          </w:p>
        </w:tc>
      </w:tr>
      <w:tr>
        <w:tc>
          <w:tcPr>
            <w:tcW w:type="dxa" w:w="4997"/>
            <w:vAlign w:val="center"/>
          </w:tcPr>
          <w:p>
            <w:pPr>
              <w:spacing w:after="60"/>
            </w:pPr>
            <w:r>
              <w:rPr>
                <w:rFonts w:ascii="Aptos" w:hAnsi="Aptos"/>
                <w:sz w:val="18"/>
              </w:rPr>
              <w:t>&lt;title&gt;</w:t>
            </w:r>
          </w:p>
        </w:tc>
        <w:tc>
          <w:tcPr>
            <w:tcW w:type="dxa" w:w="4997"/>
            <w:vAlign w:val="center"/>
          </w:tcPr>
          <w:p>
            <w:pPr>
              <w:spacing w:after="60"/>
            </w:pPr>
            <w:r>
              <w:rPr>
                <w:rFonts w:ascii="Aptos" w:hAnsi="Aptos"/>
                <w:sz w:val="18"/>
              </w:rPr>
              <w:t>Sets the title shown in the browser tab and commonly used for bookmarks and search results.</w:t>
            </w:r>
          </w:p>
        </w:tc>
      </w:tr>
      <w:tr>
        <w:tc>
          <w:tcPr>
            <w:tcW w:type="dxa" w:w="4997"/>
            <w:vAlign w:val="center"/>
          </w:tcPr>
          <w:p>
            <w:pPr>
              <w:spacing w:after="60"/>
            </w:pPr>
            <w:r>
              <w:rPr>
                <w:rFonts w:ascii="Aptos" w:hAnsi="Aptos"/>
                <w:sz w:val="18"/>
              </w:rPr>
              <w:t>&lt;body&gt;</w:t>
            </w:r>
          </w:p>
        </w:tc>
        <w:tc>
          <w:tcPr>
            <w:tcW w:type="dxa" w:w="4997"/>
            <w:vAlign w:val="center"/>
          </w:tcPr>
          <w:p>
            <w:pPr>
              <w:spacing w:after="60"/>
            </w:pPr>
            <w:r>
              <w:rPr>
                <w:rFonts w:ascii="Aptos" w:hAnsi="Aptos"/>
                <w:sz w:val="18"/>
              </w:rPr>
              <w:t>Contains all visible page content, such as headings, links, tables, images, and forms.</w:t>
            </w:r>
          </w:p>
        </w:tc>
      </w:tr>
    </w:tbl>
    <w:p>
      <w:pPr>
        <w:pStyle w:val="Heading1"/>
      </w:pPr>
      <w:r>
        <w:t>2. Headings, paragraphs, and text formatting</w:t>
      </w:r>
    </w:p>
    <w:p>
      <w:r>
        <w:t>Use headings in a logical order: one &lt;h1&gt; for the department name, &lt;h2&gt; for main sections, and &lt;h3&gt; for a subsection such as a degree programme. Paragraphs use &lt;p&gt;. The example uses &lt;strong&gt; for important text and &lt;em&gt; for emphasis. These tags express meaning as well as appearance; avoid choosing tags only to make text look bold or italic.</w:t>
      </w:r>
    </w:p>
    <w:p>
      <w:r>
        <w:t>Example: &lt;h1&gt;Department of Computer Science and Engineering&lt;/h1&gt; followed by &lt;p&gt;We combine &lt;strong&gt;strong foundations&lt;/strong&gt; with &lt;em&gt;practical learning&lt;/em&gt;.&lt;/p&gt;.</w:t>
      </w:r>
    </w:p>
    <w:p>
      <w:pPr>
        <w:pStyle w:val="Heading1"/>
      </w:pPr>
      <w:r>
        <w:t>3. Lists of subjects</w:t>
      </w:r>
    </w:p>
    <w:p>
      <w:r>
        <w:t>An unordered list (&lt;ul&gt;) presents the five subjects offered by the department. List items (&lt;li&gt;) are used because the subjects do not need to appear in a specific sequence.</w:t>
      </w:r>
    </w:p>
    <w:p>
      <w:pPr>
        <w:pStyle w:val="ListBullet"/>
      </w:pPr>
      <w:r>
        <w:t>Web Programming</w:t>
      </w:r>
    </w:p>
    <w:p>
      <w:pPr>
        <w:pStyle w:val="ListBullet"/>
      </w:pPr>
      <w:r>
        <w:t>Artificial Intelligence</w:t>
      </w:r>
    </w:p>
    <w:p>
      <w:pPr>
        <w:pStyle w:val="ListBullet"/>
      </w:pPr>
      <w:r>
        <w:t>Machine Learning</w:t>
      </w:r>
    </w:p>
    <w:p>
      <w:pPr>
        <w:pStyle w:val="ListBullet"/>
      </w:pPr>
      <w:r>
        <w:t>Object-Oriented Programming</w:t>
      </w:r>
    </w:p>
    <w:p>
      <w:pPr>
        <w:pStyle w:val="ListBullet"/>
      </w:pPr>
      <w:r>
        <w:t>Operating Systems</w:t>
      </w:r>
    </w:p>
    <w:p>
      <w:pPr>
        <w:pStyle w:val="Heading1"/>
      </w:pPr>
      <w:r>
        <w:t>4. Hyperlinks</w:t>
      </w:r>
    </w:p>
    <w:p>
      <w:r>
        <w:t>The &lt;a&gt; element creates a hyperlink. Its href attribute gives the destination. The website links to FISAT’s official homepage and Computer Science and Engineering department page, and uses mailto: and tel: links for contact. Internal links such as href="#faculty" jump to the faculty section.</w:t>
      </w:r>
    </w:p>
    <w:p>
      <w:r>
        <w:t>Example: &lt;a href="https://fisat.ac.in/"&gt;Federal Institute of Science and Technology&lt;/a&gt;. For an external page opened in a new tab, include target="_blank" and rel="noopener".</w:t>
      </w:r>
    </w:p>
    <w:p>
      <w:pPr>
        <w:pStyle w:val="Heading1"/>
      </w:pPr>
      <w:r>
        <w:t>5. Images and the department logo</w:t>
      </w:r>
    </w:p>
    <w:p>
      <w:r>
        <w:t>The &lt;img&gt; element embeds an image and has no closing tag. Its src attribute gives the file path; alt describes the image for visitors who cannot see it. The site now includes a custom department emblem stored as images/department-logo.png. Its image alternative text is empty because the adjacent department name already identifies the link. The generated emblem is a custom graphic for this assignment, not an official FISAT seal.</w:t>
      </w:r>
    </w:p>
    <w:p>
      <w:r>
        <w:t>Example: &lt;img src="images/department-logo.png" alt="" width="48" height="48"&gt;.</w:t>
      </w:r>
    </w:p>
    <w:p>
      <w:pPr>
        <w:pStyle w:val="Heading1"/>
      </w:pPr>
      <w:r>
        <w:t>6. Faculty table</w:t>
      </w:r>
    </w:p>
    <w:p>
      <w:r>
        <w:t>The faculty table contains columns for name, designation, and area of specialization, with five example faculty entries. These entries are illustrative and should be replaced with the current official faculty information before the page is used as a college publication. On narrow screens, the table scrolls horizontally.</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pPr>
              <w:spacing w:after="60"/>
            </w:pPr>
            <w:r>
              <w:rPr>
                <w:rFonts w:ascii="Aptos" w:hAnsi="Aptos"/>
                <w:sz w:val="18"/>
              </w:rPr>
              <w:t>Name</w:t>
            </w:r>
          </w:p>
        </w:tc>
        <w:tc>
          <w:tcPr>
            <w:tcW w:type="dxa" w:w="3331"/>
            <w:vAlign w:val="center"/>
          </w:tcPr>
          <w:p>
            <w:pPr>
              <w:spacing w:after="60"/>
            </w:pPr>
            <w:r>
              <w:rPr>
                <w:rFonts w:ascii="Aptos" w:hAnsi="Aptos"/>
                <w:sz w:val="18"/>
              </w:rPr>
              <w:t>Designation</w:t>
            </w:r>
          </w:p>
        </w:tc>
        <w:tc>
          <w:tcPr>
            <w:tcW w:type="dxa" w:w="3331"/>
            <w:vAlign w:val="center"/>
          </w:tcPr>
          <w:p>
            <w:pPr>
              <w:spacing w:after="60"/>
            </w:pPr>
            <w:r>
              <w:rPr>
                <w:rFonts w:ascii="Aptos" w:hAnsi="Aptos"/>
                <w:sz w:val="18"/>
              </w:rPr>
              <w:t>Area of specialization</w:t>
            </w:r>
          </w:p>
        </w:tc>
      </w:tr>
      <w:tr>
        <w:tc>
          <w:tcPr>
            <w:tcW w:type="dxa" w:w="3331"/>
            <w:vAlign w:val="center"/>
          </w:tcPr>
          <w:p>
            <w:pPr>
              <w:spacing w:after="60"/>
            </w:pPr>
            <w:r>
              <w:rPr>
                <w:rFonts w:ascii="Aptos" w:hAnsi="Aptos"/>
                <w:sz w:val="18"/>
              </w:rPr>
              <w:t>Dr. Ananya Rao</w:t>
            </w:r>
          </w:p>
        </w:tc>
        <w:tc>
          <w:tcPr>
            <w:tcW w:type="dxa" w:w="3331"/>
            <w:vAlign w:val="center"/>
          </w:tcPr>
          <w:p>
            <w:pPr>
              <w:spacing w:after="60"/>
            </w:pPr>
            <w:r>
              <w:rPr>
                <w:rFonts w:ascii="Aptos" w:hAnsi="Aptos"/>
                <w:sz w:val="18"/>
              </w:rPr>
              <w:t>Professor and Head</w:t>
            </w:r>
          </w:p>
        </w:tc>
        <w:tc>
          <w:tcPr>
            <w:tcW w:type="dxa" w:w="3331"/>
            <w:vAlign w:val="center"/>
          </w:tcPr>
          <w:p>
            <w:pPr>
              <w:spacing w:after="60"/>
            </w:pPr>
            <w:r>
              <w:rPr>
                <w:rFonts w:ascii="Aptos" w:hAnsi="Aptos"/>
                <w:sz w:val="18"/>
              </w:rPr>
              <w:t>Artificial Intelligence</w:t>
            </w:r>
          </w:p>
        </w:tc>
      </w:tr>
      <w:tr>
        <w:tc>
          <w:tcPr>
            <w:tcW w:type="dxa" w:w="3331"/>
            <w:vAlign w:val="center"/>
          </w:tcPr>
          <w:p>
            <w:pPr>
              <w:spacing w:after="60"/>
            </w:pPr>
            <w:r>
              <w:rPr>
                <w:rFonts w:ascii="Aptos" w:hAnsi="Aptos"/>
                <w:sz w:val="18"/>
              </w:rPr>
              <w:t>Dr. Vikram Shah</w:t>
            </w:r>
          </w:p>
        </w:tc>
        <w:tc>
          <w:tcPr>
            <w:tcW w:type="dxa" w:w="3331"/>
            <w:vAlign w:val="center"/>
          </w:tcPr>
          <w:p>
            <w:pPr>
              <w:spacing w:after="60"/>
            </w:pPr>
            <w:r>
              <w:rPr>
                <w:rFonts w:ascii="Aptos" w:hAnsi="Aptos"/>
                <w:sz w:val="18"/>
              </w:rPr>
              <w:t>Associate Professor</w:t>
            </w:r>
          </w:p>
        </w:tc>
        <w:tc>
          <w:tcPr>
            <w:tcW w:type="dxa" w:w="3331"/>
            <w:vAlign w:val="center"/>
          </w:tcPr>
          <w:p>
            <w:pPr>
              <w:spacing w:after="60"/>
            </w:pPr>
            <w:r>
              <w:rPr>
                <w:rFonts w:ascii="Aptos" w:hAnsi="Aptos"/>
                <w:sz w:val="18"/>
              </w:rPr>
              <w:t>Data Science</w:t>
            </w:r>
          </w:p>
        </w:tc>
      </w:tr>
      <w:tr>
        <w:tc>
          <w:tcPr>
            <w:tcW w:type="dxa" w:w="3331"/>
            <w:vAlign w:val="center"/>
          </w:tcPr>
          <w:p>
            <w:pPr>
              <w:spacing w:after="60"/>
            </w:pPr>
            <w:r>
              <w:rPr>
                <w:rFonts w:ascii="Aptos" w:hAnsi="Aptos"/>
                <w:sz w:val="18"/>
              </w:rPr>
              <w:t>Ms. Meera Nair</w:t>
            </w:r>
          </w:p>
        </w:tc>
        <w:tc>
          <w:tcPr>
            <w:tcW w:type="dxa" w:w="3331"/>
            <w:vAlign w:val="center"/>
          </w:tcPr>
          <w:p>
            <w:pPr>
              <w:spacing w:after="60"/>
            </w:pPr>
            <w:r>
              <w:rPr>
                <w:rFonts w:ascii="Aptos" w:hAnsi="Aptos"/>
                <w:sz w:val="18"/>
              </w:rPr>
              <w:t>Assistant Professor</w:t>
            </w:r>
          </w:p>
        </w:tc>
        <w:tc>
          <w:tcPr>
            <w:tcW w:type="dxa" w:w="3331"/>
            <w:vAlign w:val="center"/>
          </w:tcPr>
          <w:p>
            <w:pPr>
              <w:spacing w:after="60"/>
            </w:pPr>
            <w:r>
              <w:rPr>
                <w:rFonts w:ascii="Aptos" w:hAnsi="Aptos"/>
                <w:sz w:val="18"/>
              </w:rPr>
              <w:t>Web Technologies</w:t>
            </w:r>
          </w:p>
        </w:tc>
      </w:tr>
      <w:tr>
        <w:tc>
          <w:tcPr>
            <w:tcW w:type="dxa" w:w="3331"/>
            <w:vAlign w:val="center"/>
          </w:tcPr>
          <w:p>
            <w:pPr>
              <w:spacing w:after="60"/>
            </w:pPr>
            <w:r>
              <w:rPr>
                <w:rFonts w:ascii="Aptos" w:hAnsi="Aptos"/>
                <w:sz w:val="18"/>
              </w:rPr>
              <w:t>Mr. Arjun Menon</w:t>
            </w:r>
          </w:p>
        </w:tc>
        <w:tc>
          <w:tcPr>
            <w:tcW w:type="dxa" w:w="3331"/>
            <w:vAlign w:val="center"/>
          </w:tcPr>
          <w:p>
            <w:pPr>
              <w:spacing w:after="60"/>
            </w:pPr>
            <w:r>
              <w:rPr>
                <w:rFonts w:ascii="Aptos" w:hAnsi="Aptos"/>
                <w:sz w:val="18"/>
              </w:rPr>
              <w:t>Assistant Professor</w:t>
            </w:r>
          </w:p>
        </w:tc>
        <w:tc>
          <w:tcPr>
            <w:tcW w:type="dxa" w:w="3331"/>
            <w:vAlign w:val="center"/>
          </w:tcPr>
          <w:p>
            <w:pPr>
              <w:spacing w:after="60"/>
            </w:pPr>
            <w:r>
              <w:rPr>
                <w:rFonts w:ascii="Aptos" w:hAnsi="Aptos"/>
                <w:sz w:val="18"/>
              </w:rPr>
              <w:t>Computer Networks</w:t>
            </w:r>
          </w:p>
        </w:tc>
      </w:tr>
      <w:tr>
        <w:tc>
          <w:tcPr>
            <w:tcW w:type="dxa" w:w="3331"/>
            <w:vAlign w:val="center"/>
          </w:tcPr>
          <w:p>
            <w:pPr>
              <w:spacing w:after="60"/>
            </w:pPr>
            <w:r>
              <w:rPr>
                <w:rFonts w:ascii="Aptos" w:hAnsi="Aptos"/>
                <w:sz w:val="18"/>
              </w:rPr>
              <w:t>Dr. Sara Joseph</w:t>
            </w:r>
          </w:p>
        </w:tc>
        <w:tc>
          <w:tcPr>
            <w:tcW w:type="dxa" w:w="3331"/>
            <w:vAlign w:val="center"/>
          </w:tcPr>
          <w:p>
            <w:pPr>
              <w:spacing w:after="60"/>
            </w:pPr>
            <w:r>
              <w:rPr>
                <w:rFonts w:ascii="Aptos" w:hAnsi="Aptos"/>
                <w:sz w:val="18"/>
              </w:rPr>
              <w:t>Assistant Professor</w:t>
            </w:r>
          </w:p>
        </w:tc>
        <w:tc>
          <w:tcPr>
            <w:tcW w:type="dxa" w:w="3331"/>
            <w:vAlign w:val="center"/>
          </w:tcPr>
          <w:p>
            <w:pPr>
              <w:spacing w:after="60"/>
            </w:pPr>
            <w:r>
              <w:rPr>
                <w:rFonts w:ascii="Aptos" w:hAnsi="Aptos"/>
                <w:sz w:val="18"/>
              </w:rPr>
              <w:t>Cybersecurity</w:t>
            </w:r>
          </w:p>
        </w:tc>
      </w:tr>
    </w:tbl>
    <w:p>
      <w:pPr>
        <w:pStyle w:val="Heading1"/>
      </w:pPr>
      <w:r>
        <w:t>7. Student enquiry form</w:t>
      </w:r>
    </w:p>
    <w:p>
      <w:r>
        <w:t>The form collects a name, email address, phone number, and course preference. Each field has a visible &lt;label&gt; connected through matching for and id values. Email and telephone input types support browser validation and mobile keyboards; required marks essential fields. In the current page, JavaScript prevents a page reload and displays a confirmation message. This is a front-end demonstration only: it does not send or store the visitor’s details. A live service needs a secure server endpoint and a clear privacy notice.</w:t>
      </w:r>
    </w:p>
    <w:p>
      <w:pPr>
        <w:pStyle w:val="ListBullet"/>
      </w:pPr>
      <w:r>
        <w:t>Full name: text input</w:t>
      </w:r>
    </w:p>
    <w:p>
      <w:pPr>
        <w:pStyle w:val="ListBullet"/>
      </w:pPr>
      <w:r>
        <w:t>Email: email input</w:t>
      </w:r>
    </w:p>
    <w:p>
      <w:pPr>
        <w:pStyle w:val="ListBullet"/>
      </w:pPr>
      <w:r>
        <w:t>Phone number: tel input</w:t>
      </w:r>
    </w:p>
    <w:p>
      <w:pPr>
        <w:pStyle w:val="ListBullet"/>
      </w:pPr>
      <w:r>
        <w:t>Course preference: select menu</w:t>
      </w:r>
    </w:p>
    <w:p>
      <w:pPr>
        <w:pStyle w:val="ListBullet"/>
      </w:pPr>
      <w:r>
        <w:t>Submit enquiry: submit button</w:t>
      </w:r>
    </w:p>
    <w:p>
      <w:pPr>
        <w:pStyle w:val="Heading1"/>
      </w:pPr>
      <w:r>
        <w:t>8. Semantic HTML</w:t>
      </w:r>
    </w:p>
    <w:p>
      <w:r>
        <w:t>Semantic elements describe the role of page content. They make the document easier to navigate for people using assistive technology and easier to maintain for developers.</w:t>
      </w:r>
    </w:p>
    <w:p>
      <w:r>
        <w:t>&lt;header&gt; Introduces the site and contains its department name and college identity.</w:t>
      </w:r>
    </w:p>
    <w:p>
      <w:r>
        <w:rPr>
          <w:b/>
        </w:rPr>
        <w:t xml:space="preserve">&lt;nav&gt; </w:t>
      </w:r>
      <w:r>
        <w:t>Groups the main navigation links.</w:t>
      </w:r>
    </w:p>
    <w:p>
      <w:r>
        <w:rPr>
          <w:b/>
        </w:rPr>
        <w:t xml:space="preserve">&lt;main&gt; </w:t>
      </w:r>
      <w:r>
        <w:t>Contains the page’s primary content; use one main element per page.</w:t>
      </w:r>
    </w:p>
    <w:p>
      <w:r>
        <w:rPr>
          <w:b/>
        </w:rPr>
        <w:t xml:space="preserve">&lt;section&gt; </w:t>
      </w:r>
      <w:r>
        <w:t>Groups content around a topic, such as faculty or facilities, usually with a heading.</w:t>
      </w:r>
    </w:p>
    <w:p>
      <w:r>
        <w:rPr>
          <w:b/>
        </w:rPr>
        <w:t xml:space="preserve">&lt;article&gt; </w:t>
      </w:r>
      <w:r>
        <w:t>Represents a self-contained item, such as the description of one academic programme.</w:t>
      </w:r>
    </w:p>
    <w:p>
      <w:r>
        <w:rPr>
          <w:b/>
        </w:rPr>
        <w:t xml:space="preserve">&lt;footer&gt; </w:t>
      </w:r>
      <w:r>
        <w:t>Provides closing information, contact details, and copyright text.</w:t>
      </w:r>
    </w:p>
    <w:p>
      <w:pPr>
        <w:pStyle w:val="Heading1"/>
      </w:pPr>
      <w:r>
        <w:t>9. Simple and responsive design</w:t>
      </w:r>
    </w:p>
    <w:p>
      <w:r>
        <w:t>The website uses a light background, blue accents, clear section headings, and simple bordered panels. CSS stacks columns on phones and keeps the faculty table readable with horizontal scrolling. The custom department emblem appears beside the department name in the header.</w:t>
      </w:r>
    </w:p>
    <w:p>
      <w:pPr>
        <w:pStyle w:val="Heading1"/>
      </w:pPr>
      <w:r>
        <w:t>10. Page organization and practical checks</w:t>
      </w:r>
    </w:p>
    <w:p>
      <w:r>
        <w:t>Navigation links move to the About, Subjects, Faculty, Facilities, and Contact sections. The homepage, CSE department page, and undergraduate programme page link to fisat.ac.in. The contact section uses the FISAT department email and the requested contact number, 1234567891. Before publication, verify these details and replace the example faculty entries. The sample enquiry form does not send or store submissions.</w:t>
      </w:r>
    </w:p>
    <w:p>
      <w:pPr>
        <w:pStyle w:val="Heading1"/>
      </w:pPr>
      <w:r>
        <w:t>Appendix: complete example</w:t>
      </w:r>
    </w:p>
    <w:p>
      <w:r>
        <w:t>The current website is saved as index.html, with its custom logo at images/department-logo.png. It contains the full HTML structure, responsive CSS, five-subject unordered list, faculty table, facilities, and enquiry form described in this report. Run python3 -m http.server 8000 in the project folder and open http://localhost:8000 to preview the page.</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Department of CSE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6A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Computer Science and Engineering FISAT Website Report</dc:title>
  <dc:subject>HTML assignment report and website example for FISAT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