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VN-0020</w:t>
      </w:r>
    </w:p>
    <w:p>
      <w:r>
        <w:t>Store: ST-016</w:t>
      </w:r>
    </w:p>
    <w:p>
      <w:r>
        <w:t>Date: September 18, 2026</w:t>
      </w:r>
    </w:p>
    <w:p>
      <w:r>
        <w:t>Vendor: Sentinel Audit Group</w:t>
      </w:r>
    </w:p>
    <w:p>
      <w:r>
        <w:t>Prepared by: Dana Whitfield</w:t>
      </w:r>
    </w:p>
    <w:p>
      <w:r>
        <w:t>Severity: High</w:t>
      </w:r>
    </w:p>
    <w:p/>
    <w:p>
      <w:r>
        <w:t>The cycle count variance on energy drinks was large. Please review the attached details and confirm the credit or the replacement plan by end of week.</w:t>
      </w:r>
    </w:p>
    <w:p>
      <w:r>
        <w:t>Estimated impact: $1,290.19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