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VN-0024</w:t>
      </w:r>
    </w:p>
    <w:p>
      <w:r>
        <w:t>Store: ST-019</w:t>
      </w:r>
    </w:p>
    <w:p>
      <w:r>
        <w:t>Date: September 2, 2026</w:t>
      </w:r>
    </w:p>
    <w:p>
      <w:r>
        <w:t>Vendor: Sentinel Compliance Group</w:t>
      </w:r>
    </w:p>
    <w:p>
      <w:r>
        <w:t>Prepared by: Sofia Alvarez</w:t>
      </w:r>
    </w:p>
    <w:p>
      <w:r>
        <w:t>Severity: Critical</w:t>
      </w:r>
    </w:p>
    <w:p/>
    <w:p>
      <w:r>
        <w:t>An employee injury was logged in the backroom. Please review the attached details and confirm the credit or the replacement plan by end of week.</w:t>
      </w:r>
    </w:p>
    <w:p>
      <w:r>
        <w:t>Estimated impact: $13,861.36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