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VN-0026</w:t>
      </w:r>
    </w:p>
    <w:p>
      <w:r>
        <w:t>Store: ST-010</w:t>
      </w:r>
    </w:p>
    <w:p>
      <w:r>
        <w:t>Date: September 15, 2026</w:t>
      </w:r>
    </w:p>
    <w:p>
      <w:r>
        <w:t>Vendor: Anchor Maintenance</w:t>
      </w:r>
    </w:p>
    <w:p>
      <w:r>
        <w:t>Prepared by: Marcus Lee</w:t>
      </w:r>
    </w:p>
    <w:p>
      <w:r>
        <w:t>Severity: Medium</w:t>
      </w:r>
    </w:p>
    <w:p/>
    <w:p>
      <w:r>
        <w:t>The restroom plumbing backed up during the afternoon. Please review the attached details and confirm the credit or the replacement plan by end of week.</w:t>
      </w:r>
    </w:p>
    <w:p>
      <w:r>
        <w:t>Estimated impact: $15,657.58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