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VN-0027</w:t>
      </w:r>
    </w:p>
    <w:p>
      <w:r>
        <w:t>Store: ST-018</w:t>
      </w:r>
    </w:p>
    <w:p>
      <w:r>
        <w:t>Date: 9/25/26</w:t>
      </w:r>
    </w:p>
    <w:p>
      <w:r>
        <w:t>Vendor: Watchtower Loss Prevention</w:t>
      </w:r>
    </w:p>
    <w:p>
      <w:r>
        <w:t>Prepared by: Owen Barrett</w:t>
      </w:r>
    </w:p>
    <w:p/>
    <w:p>
      <w:r>
        <w:t>The counts do not match. We will follow up once we have more information.</w:t>
      </w:r>
    </w:p>
    <w:p>
      <w:r>
        <w:t>Estimated impact: about 9,573.26 dollars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