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VN-0030</w:t>
      </w:r>
    </w:p>
    <w:p>
      <w:r>
        <w:t>Store: ST-017</w:t>
      </w:r>
    </w:p>
    <w:p>
      <w:r>
        <w:t>Date: September 6, 2026</w:t>
      </w:r>
    </w:p>
    <w:p>
      <w:r>
        <w:t>Vendor: Cascade Beverage</w:t>
      </w:r>
    </w:p>
    <w:p>
      <w:r>
        <w:t>Prepared by: Jamal Carter</w:t>
      </w:r>
    </w:p>
    <w:p>
      <w:r>
        <w:t>Severity: High</w:t>
      </w:r>
    </w:p>
    <w:p/>
    <w:p>
      <w:r>
        <w:t>A vendor backorder delayed the beverage order by a day. Please review the attached details and confirm the credit or the replacement plan by end of week.</w:t>
      </w:r>
    </w:p>
    <w:p>
      <w:r>
        <w:t>Estimated impact: $689.65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