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VN-0031</w:t>
      </w:r>
    </w:p>
    <w:p>
      <w:r>
        <w:t>Store: ST-011</w:t>
      </w:r>
    </w:p>
    <w:p>
      <w:r>
        <w:t>Date: September 9, 2026</w:t>
      </w:r>
    </w:p>
    <w:p>
      <w:r>
        <w:t>Vendor: Aegis Compliance Supply</w:t>
      </w:r>
    </w:p>
    <w:p>
      <w:r>
        <w:t>Prepared by: Tobias Nguyen</w:t>
      </w:r>
    </w:p>
    <w:p>
      <w:r>
        <w:t>Severity: Medium</w:t>
      </w:r>
    </w:p>
    <w:p/>
    <w:p>
      <w:r>
        <w:t>An employee injury was reported after a slip and fall in aisle 6. Please review the attached details and confirm the credit or the replacement plan by end of week.</w:t>
      </w:r>
    </w:p>
    <w:p>
      <w:r>
        <w:t>Estimated impact: $13,558.85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