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VN-0032</w:t>
      </w:r>
    </w:p>
    <w:p>
      <w:r>
        <w:t>Store: ST-016</w:t>
      </w:r>
    </w:p>
    <w:p>
      <w:r>
        <w:t>Date: September 19, 2026</w:t>
      </w:r>
    </w:p>
    <w:p>
      <w:r>
        <w:t>Vendor: Nexus Retail Systems</w:t>
      </w:r>
    </w:p>
    <w:p>
      <w:r>
        <w:t>Prepared by: Priya Raman</w:t>
      </w:r>
    </w:p>
    <w:p>
      <w:r>
        <w:t>Severity: Medium</w:t>
      </w:r>
    </w:p>
    <w:p/>
    <w:p>
      <w:r>
        <w:t>The checkout lanes lost the point of sale connection. Please review the attached details and confirm the credit or the replacement plan by end of week.</w:t>
      </w:r>
    </w:p>
    <w:p>
      <w:r>
        <w:t>Estimated impact: $8,892.11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